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E81" w:rsidRDefault="003D5E81">
      <w:pPr>
        <w:pStyle w:val="ConsPlusTitlePage"/>
      </w:pPr>
      <w:r>
        <w:t xml:space="preserve">Документ предоставлен </w:t>
      </w:r>
      <w:hyperlink r:id="rId5" w:history="1">
        <w:r>
          <w:rPr>
            <w:color w:val="0000FF"/>
          </w:rPr>
          <w:t>КонсультантПлюс</w:t>
        </w:r>
      </w:hyperlink>
      <w:r>
        <w:br/>
      </w:r>
    </w:p>
    <w:p w:rsidR="003D5E81" w:rsidRDefault="003D5E81">
      <w:pPr>
        <w:pStyle w:val="ConsPlusNormal"/>
        <w:ind w:firstLine="540"/>
        <w:jc w:val="both"/>
        <w:outlineLvl w:val="0"/>
      </w:pPr>
    </w:p>
    <w:p w:rsidR="003D5E81" w:rsidRDefault="003D5E81">
      <w:pPr>
        <w:pStyle w:val="ConsPlusTitle"/>
        <w:jc w:val="center"/>
      </w:pPr>
      <w:r>
        <w:t>АРБИТРАЖНЫЙ СУД МОСКОВСКОГО ОКРУГА</w:t>
      </w:r>
    </w:p>
    <w:p w:rsidR="003D5E81" w:rsidRDefault="003D5E81">
      <w:pPr>
        <w:pStyle w:val="ConsPlusTitle"/>
        <w:jc w:val="center"/>
      </w:pPr>
    </w:p>
    <w:p w:rsidR="003D5E81" w:rsidRDefault="003D5E81">
      <w:pPr>
        <w:pStyle w:val="ConsPlusTitle"/>
        <w:jc w:val="center"/>
      </w:pPr>
      <w:r>
        <w:t>ПОСТАНОВЛЕНИЕ</w:t>
      </w:r>
    </w:p>
    <w:p w:rsidR="003D5E81" w:rsidRDefault="003D5E81">
      <w:pPr>
        <w:pStyle w:val="ConsPlusTitle"/>
        <w:jc w:val="center"/>
      </w:pPr>
      <w:r>
        <w:t>от 6 июня 2019 г. по делу N А40-218394/2018</w:t>
      </w:r>
    </w:p>
    <w:p w:rsidR="003D5E81" w:rsidRDefault="003D5E81">
      <w:pPr>
        <w:pStyle w:val="ConsPlusNormal"/>
        <w:ind w:firstLine="540"/>
        <w:jc w:val="both"/>
      </w:pPr>
    </w:p>
    <w:p w:rsidR="003D5E81" w:rsidRDefault="003D5E81">
      <w:pPr>
        <w:pStyle w:val="ConsPlusNormal"/>
        <w:ind w:firstLine="540"/>
        <w:jc w:val="both"/>
      </w:pPr>
      <w:r>
        <w:t>Резолютивная часть постановления объявлена 30 мая 2019 года</w:t>
      </w:r>
    </w:p>
    <w:p w:rsidR="003D5E81" w:rsidRDefault="003D5E81">
      <w:pPr>
        <w:pStyle w:val="ConsPlusNormal"/>
        <w:spacing w:before="240"/>
        <w:ind w:firstLine="540"/>
        <w:jc w:val="both"/>
      </w:pPr>
      <w:r>
        <w:t>Полный текст постановления изготовлен 06 июня 2019 года</w:t>
      </w:r>
    </w:p>
    <w:p w:rsidR="003D5E81" w:rsidRDefault="003D5E81">
      <w:pPr>
        <w:pStyle w:val="ConsPlusNormal"/>
        <w:spacing w:before="240"/>
        <w:ind w:firstLine="540"/>
        <w:jc w:val="both"/>
      </w:pPr>
      <w:r>
        <w:t>Арбитражный суд Московского округа в составе:</w:t>
      </w:r>
    </w:p>
    <w:p w:rsidR="003D5E81" w:rsidRDefault="003D5E81">
      <w:pPr>
        <w:pStyle w:val="ConsPlusNormal"/>
        <w:spacing w:before="240"/>
        <w:ind w:firstLine="540"/>
        <w:jc w:val="both"/>
      </w:pPr>
      <w:r>
        <w:t>председательствующего-судьи Калининой Н.С.,</w:t>
      </w:r>
    </w:p>
    <w:p w:rsidR="003D5E81" w:rsidRDefault="003D5E81">
      <w:pPr>
        <w:pStyle w:val="ConsPlusNormal"/>
        <w:spacing w:before="240"/>
        <w:ind w:firstLine="540"/>
        <w:jc w:val="both"/>
      </w:pPr>
      <w:r>
        <w:t>судей Беловой А.Р., Бочаровой Н.Н.,</w:t>
      </w:r>
    </w:p>
    <w:p w:rsidR="003D5E81" w:rsidRDefault="003D5E81">
      <w:pPr>
        <w:pStyle w:val="ConsPlusNormal"/>
        <w:spacing w:before="240"/>
        <w:ind w:firstLine="540"/>
        <w:jc w:val="both"/>
      </w:pPr>
      <w:r>
        <w:t>при участии в заседании:</w:t>
      </w:r>
    </w:p>
    <w:p w:rsidR="003D5E81" w:rsidRDefault="003D5E81">
      <w:pPr>
        <w:pStyle w:val="ConsPlusNormal"/>
        <w:spacing w:before="240"/>
        <w:ind w:firstLine="540"/>
        <w:jc w:val="both"/>
      </w:pPr>
      <w:r>
        <w:t>от истца: общества с ограниченной ответственностью "Тикетс Ру" (ООО "Тикетс Ру") - Карев М.К., дов. от 06.05.2019,</w:t>
      </w:r>
    </w:p>
    <w:p w:rsidR="003D5E81" w:rsidRDefault="003D5E81">
      <w:pPr>
        <w:pStyle w:val="ConsPlusNormal"/>
        <w:spacing w:before="240"/>
        <w:ind w:firstLine="540"/>
        <w:jc w:val="both"/>
      </w:pPr>
      <w:r>
        <w:t>от ответчика: публичного акционерного общества "Балтийский Инвестиционный Банк" (ПАО "Балтинвестбанк") - Уралов А.С., дов. от 14.12.2018,</w:t>
      </w:r>
    </w:p>
    <w:p w:rsidR="003D5E81" w:rsidRDefault="003D5E81">
      <w:pPr>
        <w:pStyle w:val="ConsPlusNormal"/>
        <w:spacing w:before="240"/>
        <w:ind w:firstLine="540"/>
        <w:jc w:val="both"/>
      </w:pPr>
      <w:r>
        <w:t>рассмотрев 30 мая 2019 года в судебном заседании кассационную жалобу ПАО "Балтинвестбанк"</w:t>
      </w:r>
    </w:p>
    <w:p w:rsidR="003D5E81" w:rsidRDefault="003D5E81">
      <w:pPr>
        <w:pStyle w:val="ConsPlusNormal"/>
        <w:spacing w:before="240"/>
        <w:ind w:firstLine="540"/>
        <w:jc w:val="both"/>
      </w:pPr>
      <w:r>
        <w:t xml:space="preserve">на </w:t>
      </w:r>
      <w:hyperlink r:id="rId6" w:history="1">
        <w:r>
          <w:rPr>
            <w:color w:val="0000FF"/>
          </w:rPr>
          <w:t>постановление</w:t>
        </w:r>
      </w:hyperlink>
      <w:r>
        <w:t xml:space="preserve"> от 05 марта 2019 года</w:t>
      </w:r>
    </w:p>
    <w:p w:rsidR="003D5E81" w:rsidRDefault="003D5E81">
      <w:pPr>
        <w:pStyle w:val="ConsPlusNormal"/>
        <w:spacing w:before="240"/>
        <w:ind w:firstLine="540"/>
        <w:jc w:val="both"/>
      </w:pPr>
      <w:r>
        <w:t>Девятого арбитражного апелляционного суда,</w:t>
      </w:r>
    </w:p>
    <w:p w:rsidR="003D5E81" w:rsidRDefault="003D5E81">
      <w:pPr>
        <w:pStyle w:val="ConsPlusNormal"/>
        <w:spacing w:before="240"/>
        <w:ind w:firstLine="540"/>
        <w:jc w:val="both"/>
      </w:pPr>
      <w:proofErr w:type="gramStart"/>
      <w:r>
        <w:t>принятое</w:t>
      </w:r>
      <w:proofErr w:type="gramEnd"/>
      <w:r>
        <w:t xml:space="preserve"> судьями Башлаковой-Николаевой Е.Ю., Стешаном Б.В., Яниной Е.Н.,</w:t>
      </w:r>
    </w:p>
    <w:p w:rsidR="003D5E81" w:rsidRDefault="003D5E81">
      <w:pPr>
        <w:pStyle w:val="ConsPlusNormal"/>
        <w:spacing w:before="240"/>
        <w:ind w:firstLine="540"/>
        <w:jc w:val="both"/>
      </w:pPr>
      <w:r>
        <w:t>по иск</w:t>
      </w:r>
      <w:proofErr w:type="gramStart"/>
      <w:r>
        <w:t>у ООО</w:t>
      </w:r>
      <w:proofErr w:type="gramEnd"/>
      <w:r>
        <w:t xml:space="preserve"> "Тикетс Ру"</w:t>
      </w:r>
    </w:p>
    <w:p w:rsidR="003D5E81" w:rsidRDefault="003D5E81">
      <w:pPr>
        <w:pStyle w:val="ConsPlusNormal"/>
        <w:spacing w:before="240"/>
        <w:ind w:firstLine="540"/>
        <w:jc w:val="both"/>
      </w:pPr>
      <w:r>
        <w:t>к ПАО "Балтинвестбанк"</w:t>
      </w:r>
    </w:p>
    <w:p w:rsidR="003D5E81" w:rsidRDefault="003D5E81">
      <w:pPr>
        <w:pStyle w:val="ConsPlusNormal"/>
        <w:spacing w:before="240"/>
        <w:ind w:firstLine="540"/>
        <w:jc w:val="both"/>
      </w:pPr>
      <w:r>
        <w:t>о взыскании денежных средств,</w:t>
      </w:r>
    </w:p>
    <w:p w:rsidR="003D5E81" w:rsidRDefault="003D5E81">
      <w:pPr>
        <w:pStyle w:val="ConsPlusNormal"/>
        <w:jc w:val="center"/>
      </w:pPr>
    </w:p>
    <w:p w:rsidR="003D5E81" w:rsidRDefault="003D5E81">
      <w:pPr>
        <w:pStyle w:val="ConsPlusNormal"/>
        <w:jc w:val="center"/>
      </w:pPr>
      <w:r>
        <w:t>установил:</w:t>
      </w:r>
    </w:p>
    <w:p w:rsidR="003D5E81" w:rsidRDefault="003D5E81">
      <w:pPr>
        <w:pStyle w:val="ConsPlusNormal"/>
        <w:jc w:val="center"/>
      </w:pPr>
    </w:p>
    <w:p w:rsidR="003D5E81" w:rsidRDefault="003D5E81">
      <w:pPr>
        <w:pStyle w:val="ConsPlusNormal"/>
        <w:ind w:firstLine="540"/>
        <w:jc w:val="both"/>
      </w:pPr>
      <w:r>
        <w:t>Общество с ограниченной ответственностью "Тикетс Ру" (далее - истец, ООО "Тикетс Ру") обратилось в Арбитражный суд города Москвы с иском о взыскании с публичного акционерного общества "Балтийский Инвестиционный Банк" (далее - ответчик, ПАО "Балтийский Инвестиционный Банк") по договору от 03.09.2015 N 0811-3455 в размере 301 162 руб. 43 коп.</w:t>
      </w:r>
    </w:p>
    <w:p w:rsidR="003D5E81" w:rsidRDefault="003D5E81">
      <w:pPr>
        <w:pStyle w:val="ConsPlusNormal"/>
        <w:spacing w:before="240"/>
        <w:ind w:firstLine="540"/>
        <w:jc w:val="both"/>
      </w:pPr>
      <w:r>
        <w:t>Решением Арбитражного суда города Москвы от 04 декабря 2018 года в удовлетворении исковых требований отказано.</w:t>
      </w:r>
    </w:p>
    <w:p w:rsidR="003D5E81" w:rsidRDefault="003D5E81">
      <w:pPr>
        <w:pStyle w:val="ConsPlusNormal"/>
        <w:spacing w:before="240"/>
        <w:ind w:firstLine="540"/>
        <w:jc w:val="both"/>
      </w:pPr>
      <w:hyperlink r:id="rId7" w:history="1">
        <w:r>
          <w:rPr>
            <w:color w:val="0000FF"/>
          </w:rPr>
          <w:t>Постановлением</w:t>
        </w:r>
      </w:hyperlink>
      <w:r>
        <w:t xml:space="preserve"> Девятого арбитражного апелляционного суда от 05 марта 2019 года решение Арбитражного суда города Москвы от 04 декабря 2018 года по делу N А40-218394/18 отменено, с ПАО "Балтийский Инвестиционный Банк" в пользу ООО "Тикетс Ру" взысканы 301 162 руб. 43 коп., из которых 242 459 руб. 80 коп</w:t>
      </w:r>
      <w:proofErr w:type="gramStart"/>
      <w:r>
        <w:t>.</w:t>
      </w:r>
      <w:proofErr w:type="gramEnd"/>
      <w:r>
        <w:t xml:space="preserve"> - </w:t>
      </w:r>
      <w:proofErr w:type="gramStart"/>
      <w:r>
        <w:t>н</w:t>
      </w:r>
      <w:proofErr w:type="gramEnd"/>
      <w:r>
        <w:t xml:space="preserve">еосновательное обогащение, 58 702 руб. - проценты за пользование чужими денежными средствами, </w:t>
      </w:r>
      <w:proofErr w:type="gramStart"/>
      <w:r>
        <w:t xml:space="preserve">а также проценты за пользование чужими денежными средствами, </w:t>
      </w:r>
      <w:r>
        <w:lastRenderedPageBreak/>
        <w:t>начисленными на сумму неосновательного обогащения в размере 242 549 руб. 80 коп., за период с 13.09.2018 г. по дату фактической оплаты указанной суммы по ключевой ставке Банка России, действующей в соответствующие периоды, а также расходы по уплате госпошлины в сумме 12 руб. 25 коп.</w:t>
      </w:r>
      <w:proofErr w:type="gramEnd"/>
    </w:p>
    <w:p w:rsidR="003D5E81" w:rsidRDefault="003D5E81">
      <w:pPr>
        <w:pStyle w:val="ConsPlusNormal"/>
        <w:spacing w:before="240"/>
        <w:ind w:firstLine="540"/>
        <w:jc w:val="both"/>
      </w:pPr>
      <w:r>
        <w:t xml:space="preserve">Законность принятого </w:t>
      </w:r>
      <w:hyperlink r:id="rId8" w:history="1">
        <w:r>
          <w:rPr>
            <w:color w:val="0000FF"/>
          </w:rPr>
          <w:t>судебного акта</w:t>
        </w:r>
      </w:hyperlink>
      <w:r>
        <w:t xml:space="preserve"> проверяется в порядке </w:t>
      </w:r>
      <w:hyperlink r:id="rId9" w:history="1">
        <w:r>
          <w:rPr>
            <w:color w:val="0000FF"/>
          </w:rPr>
          <w:t>статей 274</w:t>
        </w:r>
      </w:hyperlink>
      <w:r>
        <w:t xml:space="preserve">, </w:t>
      </w:r>
      <w:hyperlink r:id="rId10" w:history="1">
        <w:r>
          <w:rPr>
            <w:color w:val="0000FF"/>
          </w:rPr>
          <w:t>284</w:t>
        </w:r>
      </w:hyperlink>
      <w:r>
        <w:t xml:space="preserve"> Арбитражного процессуального кодекса Российской Федерации по кассационной жалобе ПАО "Балтинвестбанк", которое полагает, что выводы суда апелляционной инстанции не соответствуют имеющимся в деле доказательствам, судом при рассмотрении дела и принятии </w:t>
      </w:r>
      <w:hyperlink r:id="rId11" w:history="1">
        <w:r>
          <w:rPr>
            <w:color w:val="0000FF"/>
          </w:rPr>
          <w:t>судебного акта</w:t>
        </w:r>
      </w:hyperlink>
      <w:r>
        <w:t xml:space="preserve"> нарушены нормы материального и процессуального права, в </w:t>
      </w:r>
      <w:proofErr w:type="gramStart"/>
      <w:r>
        <w:t>связи</w:t>
      </w:r>
      <w:proofErr w:type="gramEnd"/>
      <w:r>
        <w:t xml:space="preserve"> с чем просит принятое по делу </w:t>
      </w:r>
      <w:hyperlink r:id="rId12" w:history="1">
        <w:r>
          <w:rPr>
            <w:color w:val="0000FF"/>
          </w:rPr>
          <w:t>постановление</w:t>
        </w:r>
      </w:hyperlink>
      <w:r>
        <w:t xml:space="preserve"> суда апелляционной инстанции отменить, оставить в силе решение арбитражного суда первой инстанции.</w:t>
      </w:r>
    </w:p>
    <w:p w:rsidR="003D5E81" w:rsidRDefault="003D5E81">
      <w:pPr>
        <w:pStyle w:val="ConsPlusNormal"/>
        <w:spacing w:before="240"/>
        <w:ind w:firstLine="540"/>
        <w:jc w:val="both"/>
      </w:pPr>
      <w:r>
        <w:t xml:space="preserve">Как следует из текста кассационной жалобы, выводы суда апелляционной инстанции со ссылкой на положения </w:t>
      </w:r>
      <w:hyperlink r:id="rId13" w:history="1">
        <w:r>
          <w:rPr>
            <w:color w:val="0000FF"/>
          </w:rPr>
          <w:t>статьи 369</w:t>
        </w:r>
      </w:hyperlink>
      <w:r>
        <w:t xml:space="preserve"> Гражданского кодекса Российской Федерации являются необоснованными, поскольку действие настоящей </w:t>
      </w:r>
      <w:hyperlink r:id="rId14" w:history="1">
        <w:r>
          <w:rPr>
            <w:color w:val="0000FF"/>
          </w:rPr>
          <w:t>статьи</w:t>
        </w:r>
      </w:hyperlink>
      <w:r>
        <w:t xml:space="preserve"> не распространяется на договор о выдаче банковской гарантии от 03.09.2015 N 0811-3455, указанная </w:t>
      </w:r>
      <w:hyperlink r:id="rId15" w:history="1">
        <w:r>
          <w:rPr>
            <w:color w:val="0000FF"/>
          </w:rPr>
          <w:t>статья</w:t>
        </w:r>
      </w:hyperlink>
      <w:r>
        <w:t xml:space="preserve"> утратила силу с 01.06.2015. Кроме того, положения </w:t>
      </w:r>
      <w:hyperlink r:id="rId16" w:history="1">
        <w:r>
          <w:rPr>
            <w:color w:val="0000FF"/>
          </w:rPr>
          <w:t>статьи 369</w:t>
        </w:r>
      </w:hyperlink>
      <w:r>
        <w:t xml:space="preserve"> Гражданского кодекса Российской Федерации не содержат ссылок на зависимость размера вознаграждения от срока действия банковской гарантии. Судом апелляционной инстанции не применены положения </w:t>
      </w:r>
      <w:hyperlink r:id="rId17" w:history="1">
        <w:r>
          <w:rPr>
            <w:color w:val="0000FF"/>
          </w:rPr>
          <w:t>статьи 421</w:t>
        </w:r>
      </w:hyperlink>
      <w:r>
        <w:t xml:space="preserve"> Гражданского кодекса Российской Федерации, не учтено, что договор и соглашение не содержат условий об обязанности банка по возвращению комиссионного вознаграждения в случае расторжений договора. Истцом в нарушение положений </w:t>
      </w:r>
      <w:hyperlink r:id="rId18" w:history="1">
        <w:r>
          <w:rPr>
            <w:color w:val="0000FF"/>
          </w:rPr>
          <w:t>статьи 65</w:t>
        </w:r>
      </w:hyperlink>
      <w:r>
        <w:t xml:space="preserve"> Арбитражного процессуального кодекса Российской Федерации не представлены доказательства наличия неосновательного обогащения.</w:t>
      </w:r>
    </w:p>
    <w:p w:rsidR="003D5E81" w:rsidRDefault="003D5E81">
      <w:pPr>
        <w:pStyle w:val="ConsPlusNormal"/>
        <w:spacing w:before="240"/>
        <w:ind w:firstLine="540"/>
        <w:jc w:val="both"/>
      </w:pPr>
      <w:r>
        <w:t>ООО "Тикетс Ру" представило отзыв на кассационную жалобу, который приобщен судом к материалам дела с учетом отсутствия возражений другой стороны.</w:t>
      </w:r>
    </w:p>
    <w:p w:rsidR="003D5E81" w:rsidRDefault="003D5E81">
      <w:pPr>
        <w:pStyle w:val="ConsPlusNormal"/>
        <w:spacing w:before="240"/>
        <w:ind w:firstLine="540"/>
        <w:jc w:val="both"/>
      </w:pPr>
      <w:r>
        <w:t xml:space="preserve">Представитель ответчика в судебном заседании поддержал доводы и требования, изложенные в кассационной жалобе, представитель истца возражал против удовлетворения жалобы заявителя, просил оставить обжалуемое </w:t>
      </w:r>
      <w:hyperlink r:id="rId19" w:history="1">
        <w:r>
          <w:rPr>
            <w:color w:val="0000FF"/>
          </w:rPr>
          <w:t>постановление</w:t>
        </w:r>
      </w:hyperlink>
      <w:r>
        <w:t xml:space="preserve"> без изменения.</w:t>
      </w:r>
    </w:p>
    <w:p w:rsidR="003D5E81" w:rsidRDefault="003D5E81">
      <w:pPr>
        <w:pStyle w:val="ConsPlusNormal"/>
        <w:spacing w:before="240"/>
        <w:ind w:firstLine="540"/>
        <w:jc w:val="both"/>
      </w:pPr>
      <w:r>
        <w:t xml:space="preserve">Изучив материалы дела, проверив правильность применения в пределах требований, предусмотренных </w:t>
      </w:r>
      <w:hyperlink r:id="rId20" w:history="1">
        <w:r>
          <w:rPr>
            <w:color w:val="0000FF"/>
          </w:rPr>
          <w:t>статьей 286</w:t>
        </w:r>
      </w:hyperlink>
      <w:r>
        <w:t xml:space="preserve"> Арбитражного процессуального кодекса Российской Федерации, норм материального и процессуального права судом при принятии </w:t>
      </w:r>
      <w:hyperlink r:id="rId21" w:history="1">
        <w:r>
          <w:rPr>
            <w:color w:val="0000FF"/>
          </w:rPr>
          <w:t>судебного акта</w:t>
        </w:r>
      </w:hyperlink>
      <w:r>
        <w:t>, соответствие выводов суда установленным по делу обстоятельствам и имеющимся в деле доказательствам, суд кассационной инстанции не находит жалобу подлежащей удовлетворению.</w:t>
      </w:r>
    </w:p>
    <w:p w:rsidR="003D5E81" w:rsidRDefault="003D5E81">
      <w:pPr>
        <w:pStyle w:val="ConsPlusNormal"/>
        <w:spacing w:before="240"/>
        <w:ind w:firstLine="540"/>
        <w:jc w:val="both"/>
      </w:pPr>
      <w:proofErr w:type="gramStart"/>
      <w:r>
        <w:t>Как следует из материалов дела, 03 сентября 2015 между Обществом с ограниченной ответственностью "Скайтех" (в соответствии с записью ЕГРЮЛ - ООО "Тикетс Ру") (далее также принципал, Клиент) и Публичным акционерным обществом "Балтийский Инвестиционный Банк" (далее также Гарант) заключен Договор о выдаче банковской гарантии N 0811-3455, в соответствии с п. 1.1 которой Гарант обязуется по заявлению принципала выдать безотзывную гарантию в порядке</w:t>
      </w:r>
      <w:proofErr w:type="gramEnd"/>
      <w:r>
        <w:t xml:space="preserve"> и на условиях, определенных в Договоре, а Принципал обязуется возместить Гаранту фактически понесенные им расходы, уплатить Гаранту причитающиеся комиссионное вознаграждение и иные платежи в порядке и на условиях, определенных в Договоре.</w:t>
      </w:r>
    </w:p>
    <w:p w:rsidR="003D5E81" w:rsidRDefault="003D5E81">
      <w:pPr>
        <w:pStyle w:val="ConsPlusNormal"/>
        <w:spacing w:before="240"/>
        <w:ind w:firstLine="540"/>
        <w:jc w:val="both"/>
      </w:pPr>
      <w:r>
        <w:t>Гарантия выдается в обеспечение исполнения обязатель</w:t>
      </w:r>
      <w:proofErr w:type="gramStart"/>
      <w:r>
        <w:t>ств Пр</w:t>
      </w:r>
      <w:proofErr w:type="gramEnd"/>
      <w:r>
        <w:t>инципала по исполнению агентского договора о продаже пассажирских перевозок, заключенного между Принципалом и Международной ассоциацией воздушного транспорта (далее - Бенефициар).</w:t>
      </w:r>
    </w:p>
    <w:p w:rsidR="003D5E81" w:rsidRDefault="003D5E81">
      <w:pPr>
        <w:pStyle w:val="ConsPlusNormal"/>
        <w:spacing w:before="240"/>
        <w:ind w:firstLine="540"/>
        <w:jc w:val="both"/>
      </w:pPr>
      <w:r>
        <w:t>Исковые требования мотивированы тем, что в соответствии с п. 5.1 Договора Принципал обязуется уплатить Гаранту причитающееся комиссионное вознаграждение и возместить фактически понесенные расходы полностью, без каких-либо удержаний, в сроки, предусмотренные Договором.</w:t>
      </w:r>
    </w:p>
    <w:p w:rsidR="003D5E81" w:rsidRDefault="003D5E81">
      <w:pPr>
        <w:pStyle w:val="ConsPlusNormal"/>
        <w:spacing w:before="240"/>
        <w:ind w:firstLine="540"/>
        <w:jc w:val="both"/>
      </w:pPr>
      <w:r>
        <w:lastRenderedPageBreak/>
        <w:t xml:space="preserve">В соответствии с п. 1.5.1 Договора комиссия за выдачу банковской гарантии составляет 6% </w:t>
      </w:r>
      <w:proofErr w:type="gramStart"/>
      <w:r>
        <w:t>годовых</w:t>
      </w:r>
      <w:proofErr w:type="gramEnd"/>
      <w:r>
        <w:t xml:space="preserve"> от суммы выдаваемой Гарантом в пользу Бенефициара за весь срок действия Гарантии. Комиссия по Договору уплачивается Принципалом не позднее даты выдачи Гарантии.</w:t>
      </w:r>
    </w:p>
    <w:p w:rsidR="003D5E81" w:rsidRDefault="003D5E81">
      <w:pPr>
        <w:pStyle w:val="ConsPlusNormal"/>
        <w:spacing w:before="240"/>
        <w:ind w:firstLine="540"/>
        <w:jc w:val="both"/>
      </w:pPr>
      <w:r>
        <w:t>Истцом в соответствии с банковским ордером N 84683 от 03.09.2015 г. уплачена Ответчику комиссия в размере 398 957 руб. 45 коп.</w:t>
      </w:r>
    </w:p>
    <w:p w:rsidR="003D5E81" w:rsidRDefault="003D5E81">
      <w:pPr>
        <w:pStyle w:val="ConsPlusNormal"/>
        <w:spacing w:before="240"/>
        <w:ind w:firstLine="540"/>
        <w:jc w:val="both"/>
      </w:pPr>
      <w:r>
        <w:t xml:space="preserve">12.11.2015 г. Истцом получено письмо об отказе от прав, в том числе по Банковской гарантии N 0811-3455 от 03.09.2015 г. на сумму 100 000 долларов США, в </w:t>
      </w:r>
      <w:proofErr w:type="gramStart"/>
      <w:r>
        <w:t>связи</w:t>
      </w:r>
      <w:proofErr w:type="gramEnd"/>
      <w:r>
        <w:t xml:space="preserve"> с чем 13.11.2015 г. сторонами подписано соглашение о расторжении Договора банковской гарантии.</w:t>
      </w:r>
    </w:p>
    <w:p w:rsidR="003D5E81" w:rsidRDefault="003D5E81">
      <w:pPr>
        <w:pStyle w:val="ConsPlusNormal"/>
        <w:spacing w:before="240"/>
        <w:ind w:firstLine="540"/>
        <w:jc w:val="both"/>
      </w:pPr>
      <w:r>
        <w:t>Пунктом 1 Соглашения от 13.11.2018 г. стороны признали Договор о выдаче банковской гарантии N 0811-3455 от 03.09.2015 г. расторгнутым, в связи с чем Истцом предъявлено требование о взыскании неосновательного обогащения в размере 242 459 руб. 80 коп</w:t>
      </w:r>
      <w:proofErr w:type="gramStart"/>
      <w:r>
        <w:t>.</w:t>
      </w:r>
      <w:proofErr w:type="gramEnd"/>
      <w:r>
        <w:t xml:space="preserve"> </w:t>
      </w:r>
      <w:proofErr w:type="gramStart"/>
      <w:r>
        <w:t>в</w:t>
      </w:r>
      <w:proofErr w:type="gramEnd"/>
      <w:r>
        <w:t xml:space="preserve"> качестве ранее уплаченной комиссии за предоставление банковской гарантии.</w:t>
      </w:r>
    </w:p>
    <w:p w:rsidR="003D5E81" w:rsidRDefault="003D5E81">
      <w:pPr>
        <w:pStyle w:val="ConsPlusNormal"/>
        <w:spacing w:before="240"/>
        <w:ind w:firstLine="540"/>
        <w:jc w:val="both"/>
      </w:pPr>
      <w:r>
        <w:t>13.11.2015 г. Истец возвратил оригинал Банковской гарантии Банку.</w:t>
      </w:r>
    </w:p>
    <w:p w:rsidR="003D5E81" w:rsidRDefault="003D5E81">
      <w:pPr>
        <w:pStyle w:val="ConsPlusNormal"/>
        <w:spacing w:before="240"/>
        <w:ind w:firstLine="540"/>
        <w:jc w:val="both"/>
      </w:pPr>
      <w:r>
        <w:t>13.03.2018 г. Истцом направлена претензия исх. N 2 с требованием о возврате суммы комиссии за выдачу Гарантии в размере 242 459 руб. 80 коп</w:t>
      </w:r>
      <w:proofErr w:type="gramStart"/>
      <w:r>
        <w:t>.</w:t>
      </w:r>
      <w:proofErr w:type="gramEnd"/>
      <w:r>
        <w:t xml:space="preserve"> </w:t>
      </w:r>
      <w:proofErr w:type="gramStart"/>
      <w:r>
        <w:t>в</w:t>
      </w:r>
      <w:proofErr w:type="gramEnd"/>
      <w:r>
        <w:t xml:space="preserve"> связи с досрочным прекращением действия Гарантии.</w:t>
      </w:r>
    </w:p>
    <w:p w:rsidR="003D5E81" w:rsidRDefault="003D5E81">
      <w:pPr>
        <w:pStyle w:val="ConsPlusNormal"/>
        <w:spacing w:before="240"/>
        <w:ind w:firstLine="540"/>
        <w:jc w:val="both"/>
      </w:pPr>
      <w:r>
        <w:t>16.04.2018 г. Ответчик отказал в удовлетворении требований, заявленных в претензии, что подтверждается письмом за исх. N 44-01/6021, в связи, с чем Истец обратился в суд с настоящим исковым заявлением.</w:t>
      </w:r>
    </w:p>
    <w:p w:rsidR="003D5E81" w:rsidRDefault="003D5E81">
      <w:pPr>
        <w:pStyle w:val="ConsPlusNormal"/>
        <w:spacing w:before="240"/>
        <w:ind w:firstLine="540"/>
        <w:jc w:val="both"/>
      </w:pPr>
      <w:r>
        <w:t>Отказывая в удовлетворении исковых требований, суд первой инстанции исходил из того, что буквальное толкование п. 1.5.1 Договора, содержащего условие об оплате комиссии за весь срок действия Гарантии, свидетельствует о независимости размера оплаты от срока действия выданной гарантии. Таким образом, исходя из условий, изложенных в Договоре о выдаче банковской гарантии, оплата комиссии за предоставление банковской гарантии в конкретном случае не ставится в зависимость от срока действия банковской гарантии. Установив, что Истцом не доказан факт приобретения либо сбережения ответчиком имущества, принадлежащего истцу, отсутствие у ответчика для этого правовых оснований, период такого пользования, а также размер неосновательного обогащения, суд первой инстанции отказал в удовлетворении исковых требований.</w:t>
      </w:r>
    </w:p>
    <w:p w:rsidR="003D5E81" w:rsidRDefault="003D5E81">
      <w:pPr>
        <w:pStyle w:val="ConsPlusNormal"/>
        <w:spacing w:before="240"/>
        <w:ind w:firstLine="540"/>
        <w:jc w:val="both"/>
      </w:pPr>
      <w:r>
        <w:t xml:space="preserve">Суд апелляционной инстанции с выводами суда первой инстанции не согласился, исследовав и оценив в порядке положений </w:t>
      </w:r>
      <w:hyperlink r:id="rId22" w:history="1">
        <w:r>
          <w:rPr>
            <w:color w:val="0000FF"/>
          </w:rPr>
          <w:t>статьи 71</w:t>
        </w:r>
      </w:hyperlink>
      <w:r>
        <w:t xml:space="preserve"> Арбитражного процессуального кодекса Российской </w:t>
      </w:r>
      <w:proofErr w:type="gramStart"/>
      <w:r>
        <w:t>Федерации</w:t>
      </w:r>
      <w:proofErr w:type="gramEnd"/>
      <w:r>
        <w:t xml:space="preserve"> представленные в материалы дела доказательства, установил, что размер комиссии за выдачу Гарантии за весь срок ее действия согласно условиям Договора (181 день) составил 398 957 руб. 45 коп., а фактический срок действия Гарантии составил 71 день, в связи досрочным прекращением действия Гарантии у Гаранта (ответчика) возникло обязательство по возврату Принципалу (истцу) денежных средств, уплаченных в счет комиссии за выдачу Гарантии, в размере 242 459 руб. 80 коп., </w:t>
      </w:r>
      <w:proofErr w:type="gramStart"/>
      <w:r>
        <w:t>и</w:t>
      </w:r>
      <w:proofErr w:type="gramEnd"/>
      <w:r>
        <w:t xml:space="preserve"> руководствуясь положениями </w:t>
      </w:r>
      <w:hyperlink r:id="rId23" w:history="1">
        <w:r>
          <w:rPr>
            <w:color w:val="0000FF"/>
          </w:rPr>
          <w:t>статей 368</w:t>
        </w:r>
      </w:hyperlink>
      <w:r>
        <w:t xml:space="preserve">, </w:t>
      </w:r>
      <w:hyperlink r:id="rId24" w:history="1">
        <w:r>
          <w:rPr>
            <w:color w:val="0000FF"/>
          </w:rPr>
          <w:t>378</w:t>
        </w:r>
      </w:hyperlink>
      <w:r>
        <w:t xml:space="preserve">, </w:t>
      </w:r>
      <w:hyperlink r:id="rId25" w:history="1">
        <w:r>
          <w:rPr>
            <w:color w:val="0000FF"/>
          </w:rPr>
          <w:t>1102</w:t>
        </w:r>
      </w:hyperlink>
      <w:r>
        <w:t xml:space="preserve"> Гражданского кодекса Российской Федерации, пришел к выводу о наличии оснований для удовлетворения заявленный требований о взыскании неосновательного обогащения.</w:t>
      </w:r>
    </w:p>
    <w:p w:rsidR="003D5E81" w:rsidRDefault="003D5E81">
      <w:pPr>
        <w:pStyle w:val="ConsPlusNormal"/>
        <w:spacing w:before="240"/>
        <w:ind w:firstLine="540"/>
        <w:jc w:val="both"/>
      </w:pPr>
      <w:r>
        <w:t>Судами также правомерно взысканы проценты за пользование чужими денежными средствами.</w:t>
      </w:r>
    </w:p>
    <w:p w:rsidR="003D5E81" w:rsidRDefault="003D5E81">
      <w:pPr>
        <w:pStyle w:val="ConsPlusNormal"/>
        <w:spacing w:before="240"/>
        <w:ind w:firstLine="540"/>
        <w:jc w:val="both"/>
      </w:pPr>
      <w:r>
        <w:t xml:space="preserve">В соответствии со </w:t>
      </w:r>
      <w:hyperlink r:id="rId26" w:history="1">
        <w:r>
          <w:rPr>
            <w:color w:val="0000FF"/>
          </w:rPr>
          <w:t>статьей 1107</w:t>
        </w:r>
      </w:hyperlink>
      <w:r>
        <w:t xml:space="preserve"> Гражданского кодекса Российской Федерации на сумму неосновательного денежного обогащения подлежат начислению проценты за пользование чужими средствами </w:t>
      </w:r>
      <w:hyperlink r:id="rId27"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 </w:t>
      </w:r>
      <w:hyperlink r:id="rId28" w:history="1">
        <w:r>
          <w:rPr>
            <w:color w:val="0000FF"/>
          </w:rPr>
          <w:t>(пункт 2)</w:t>
        </w:r>
      </w:hyperlink>
      <w:r>
        <w:t>.</w:t>
      </w:r>
    </w:p>
    <w:p w:rsidR="003D5E81" w:rsidRDefault="003D5E81">
      <w:pPr>
        <w:pStyle w:val="ConsPlusNormal"/>
        <w:spacing w:before="240"/>
        <w:ind w:firstLine="540"/>
        <w:jc w:val="both"/>
      </w:pPr>
      <w:hyperlink r:id="rId29" w:history="1">
        <w:proofErr w:type="gramStart"/>
        <w:r>
          <w:rPr>
            <w:color w:val="0000FF"/>
          </w:rPr>
          <w:t>Пунктом 48</w:t>
        </w:r>
      </w:hyperlink>
      <w:r>
        <w:t xml:space="preserve"> постановления Пленума Верховного Суда Российской Федерации от 24.03.2016 N 7 "О </w:t>
      </w:r>
      <w:r>
        <w:lastRenderedPageBreak/>
        <w:t xml:space="preserve">применении судами некоторых положений Гражданского кодекса Российской Федерации об ответственности за нарушение обязательств" сумма процентов, подлежащих взысканию по правилам </w:t>
      </w:r>
      <w:hyperlink r:id="rId30" w:history="1">
        <w:r>
          <w:rPr>
            <w:color w:val="0000FF"/>
          </w:rPr>
          <w:t>статьи 395</w:t>
        </w:r>
      </w:hyperlink>
      <w:r>
        <w:t xml:space="preserve"> Гражданского кодекса Российской Федерации, определяется на день вынесения решения судом исходя из периодов, имевших место до указанного дня.</w:t>
      </w:r>
      <w:proofErr w:type="gramEnd"/>
      <w:r>
        <w:t xml:space="preserve"> Проценты за пользование чужими денежными средствами по требованию истца взимаются по день уплаты этих сре</w:t>
      </w:r>
      <w:proofErr w:type="gramStart"/>
      <w:r>
        <w:t>дств кр</w:t>
      </w:r>
      <w:proofErr w:type="gramEnd"/>
      <w:r>
        <w:t>едитору. Одновременно с установлением суммы процентов, подлежащих взысканию, суд при наличии требования истца в резолютивной части решения указывает на взыскание процентов до момента фактического исполнения обязательства (</w:t>
      </w:r>
      <w:hyperlink r:id="rId31" w:history="1">
        <w:r>
          <w:rPr>
            <w:color w:val="0000FF"/>
          </w:rPr>
          <w:t>пункт 3 статьи 395</w:t>
        </w:r>
      </w:hyperlink>
      <w:r>
        <w:t xml:space="preserve"> Гражданского кодекса Российской Федерации). При этом день фактического исполнения обязательства, в частности уплаты задолженности кредитору, включается в период расчета процентов.</w:t>
      </w:r>
    </w:p>
    <w:p w:rsidR="003D5E81" w:rsidRDefault="003D5E81">
      <w:pPr>
        <w:pStyle w:val="ConsPlusNormal"/>
        <w:spacing w:before="240"/>
        <w:ind w:firstLine="540"/>
        <w:jc w:val="both"/>
      </w:pPr>
      <w:r>
        <w:t>Оснований не согласиться с выводами суда апелляционной инстанции кассационная коллегия не усматривает и признает, что все существенные обстоятельства дела установлены судами, правовые нормы, регулирующие спорные правоотношения, применены правильно и спор разрешен в соответствии с установленными обстоятельствами и представленными доказательствами при правильном применении норм процессуального права.</w:t>
      </w:r>
    </w:p>
    <w:p w:rsidR="003D5E81" w:rsidRDefault="003D5E81">
      <w:pPr>
        <w:pStyle w:val="ConsPlusNormal"/>
        <w:spacing w:before="240"/>
        <w:ind w:firstLine="540"/>
        <w:jc w:val="both"/>
      </w:pPr>
      <w:r>
        <w:t xml:space="preserve">Судебная коллегия не принимает как необоснованные доводы подателя кассационной жалобы относительно того, что суды не исследовали непосредственно спорную банковскую гарантию и ее условия, требования бенефициара и ответ гаранта в их прямом дословном </w:t>
      </w:r>
      <w:proofErr w:type="gramStart"/>
      <w:r>
        <w:t>толковании</w:t>
      </w:r>
      <w:proofErr w:type="gramEnd"/>
      <w:r>
        <w:t xml:space="preserve"> и их соответствие (не соответствие) нормам действующего законодательства.</w:t>
      </w:r>
    </w:p>
    <w:p w:rsidR="003D5E81" w:rsidRDefault="003D5E81">
      <w:pPr>
        <w:pStyle w:val="ConsPlusNormal"/>
        <w:spacing w:before="240"/>
        <w:ind w:firstLine="540"/>
        <w:jc w:val="both"/>
      </w:pPr>
      <w:r>
        <w:t xml:space="preserve">Доводы кассационной жалобы об отсутствии оснований для взыскания неосновательного обогащения судебная коллегия отклоняет, как </w:t>
      </w:r>
      <w:proofErr w:type="gramStart"/>
      <w:r>
        <w:t>основанный</w:t>
      </w:r>
      <w:proofErr w:type="gramEnd"/>
      <w:r>
        <w:t xml:space="preserve"> на неправильном толковании норм материального права и фактических обстоятельств дела.</w:t>
      </w:r>
    </w:p>
    <w:p w:rsidR="003D5E81" w:rsidRDefault="003D5E81">
      <w:pPr>
        <w:pStyle w:val="ConsPlusNormal"/>
        <w:spacing w:before="240"/>
        <w:ind w:firstLine="540"/>
        <w:jc w:val="both"/>
      </w:pPr>
      <w:r>
        <w:t xml:space="preserve">Так, в силу </w:t>
      </w:r>
      <w:hyperlink r:id="rId32" w:history="1">
        <w:r>
          <w:rPr>
            <w:color w:val="0000FF"/>
          </w:rPr>
          <w:t>статьи 368</w:t>
        </w:r>
      </w:hyperlink>
      <w:r>
        <w:t xml:space="preserve"> Гражданского кодекса Российской Федерации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3D5E81" w:rsidRDefault="003D5E81">
      <w:pPr>
        <w:pStyle w:val="ConsPlusNormal"/>
        <w:spacing w:before="240"/>
        <w:ind w:firstLine="540"/>
        <w:jc w:val="both"/>
      </w:pPr>
      <w:r>
        <w:t>Таким образом, существенным условием гарантийного обязательства является ее обеспечительная функция, в отсутствие которой банковская гарантия теряет юридическую силу.</w:t>
      </w:r>
    </w:p>
    <w:p w:rsidR="003D5E81" w:rsidRDefault="003D5E81">
      <w:pPr>
        <w:pStyle w:val="ConsPlusNormal"/>
        <w:spacing w:before="240"/>
        <w:ind w:firstLine="540"/>
        <w:jc w:val="both"/>
      </w:pPr>
      <w:r>
        <w:t xml:space="preserve">В соответствии с </w:t>
      </w:r>
      <w:hyperlink r:id="rId33" w:history="1">
        <w:r>
          <w:rPr>
            <w:color w:val="0000FF"/>
          </w:rPr>
          <w:t>пункта 3 части 1 статьи 378</w:t>
        </w:r>
      </w:hyperlink>
      <w:r>
        <w:t xml:space="preserve"> Гражданского кодекса Российской Федерации обязательство гаранта перед бенефициаром по гарантии прекращается вследствие отказа бенефициара от своих прав по гарантии и возвращения ее гаранту.</w:t>
      </w:r>
    </w:p>
    <w:p w:rsidR="003D5E81" w:rsidRDefault="003D5E81">
      <w:pPr>
        <w:pStyle w:val="ConsPlusNormal"/>
        <w:spacing w:before="240"/>
        <w:ind w:firstLine="540"/>
        <w:jc w:val="both"/>
      </w:pPr>
      <w:r>
        <w:t>Согласно п. 1.4 Договора, Гарантия вступает в силу с 03.09.2015 и действует до 01.03.2016 (включительно). Действие Гарантии может быть досрочно прекращено в случае отказа Бенефициара от своих прав по Гарантии и возвращения Гаранту оригинала Гарантии или в результате соглашения между Гарантом и Бенефициаром о прекращении обязательства Гаранта по Гарантии и возвращения Гаранту оригинала Гарантии.</w:t>
      </w:r>
    </w:p>
    <w:p w:rsidR="003D5E81" w:rsidRDefault="003D5E81">
      <w:pPr>
        <w:pStyle w:val="ConsPlusNormal"/>
        <w:spacing w:before="240"/>
        <w:ind w:firstLine="540"/>
        <w:jc w:val="both"/>
      </w:pPr>
      <w:proofErr w:type="gramStart"/>
      <w:r>
        <w:t>Поскольку размер комиссии за выдачу гарантии уплачен за весь срок ее действия согласно условиям Договора 181 день, а фактический срок действия Гарантии составил 71 день, в связи досрочным прекращением действия Гарантии у Гаранта (Ответчика) возникло обязательство по возврату Принципалу (Истцу) денежных средств, уплаченных в счет комиссии за выдачу Гарантии, поскольку правовые основания для удержания комиссионного вознаграждения за оставшийся период отсутствует</w:t>
      </w:r>
      <w:proofErr w:type="gramEnd"/>
      <w:r>
        <w:t xml:space="preserve">, так как отсутствует какое-либо обеспечение обязательства, что противоречит основной </w:t>
      </w:r>
      <w:r>
        <w:lastRenderedPageBreak/>
        <w:t>функции банковской гарантии.</w:t>
      </w:r>
    </w:p>
    <w:p w:rsidR="003D5E81" w:rsidRDefault="003D5E81">
      <w:pPr>
        <w:pStyle w:val="ConsPlusNormal"/>
        <w:spacing w:before="240"/>
        <w:ind w:firstLine="540"/>
        <w:jc w:val="both"/>
      </w:pPr>
      <w:r>
        <w:t>Судебная коллегия суда кассационной инстанции поддерживает выводы суда апелляционной инстанции, считает их соответствующими обстоятельствам дела, имеющимся в материалах дела доказательствам и основанными на правильном применении судом норм действующего законодательства.</w:t>
      </w:r>
    </w:p>
    <w:p w:rsidR="003D5E81" w:rsidRDefault="003D5E81">
      <w:pPr>
        <w:pStyle w:val="ConsPlusNormal"/>
        <w:spacing w:before="240"/>
        <w:ind w:firstLine="540"/>
        <w:jc w:val="both"/>
      </w:pPr>
      <w:r>
        <w:t>Пределы рассмотрения дела в суде кассационной инстанции ограничены проверкой правильности применения судами норм материального и процессуального права, а также соответствия выводов о применении нормы права установленным по делу обстоятельствам и имеющимся в деле доказательствам (</w:t>
      </w:r>
      <w:hyperlink r:id="rId34" w:history="1">
        <w:r>
          <w:rPr>
            <w:color w:val="0000FF"/>
          </w:rPr>
          <w:t>части 1</w:t>
        </w:r>
      </w:hyperlink>
      <w:r>
        <w:t xml:space="preserve">, </w:t>
      </w:r>
      <w:hyperlink r:id="rId35" w:history="1">
        <w:r>
          <w:rPr>
            <w:color w:val="0000FF"/>
          </w:rPr>
          <w:t>3 статьи 286</w:t>
        </w:r>
      </w:hyperlink>
      <w:r>
        <w:t xml:space="preserve"> Арбитражного процессуального кодекса Российской Федерации).</w:t>
      </w:r>
    </w:p>
    <w:p w:rsidR="003D5E81" w:rsidRDefault="003D5E81">
      <w:pPr>
        <w:pStyle w:val="ConsPlusNormal"/>
        <w:spacing w:before="240"/>
        <w:ind w:firstLine="540"/>
        <w:jc w:val="both"/>
      </w:pPr>
      <w:r>
        <w:t>Арбитражный суд кассационной инстанции не вправе устанавливать или считать доказанными обстоятельства, которые не были установлены в обжалуемом судебном акте либо были отвергнуты судами, разрешать вопросы о достоверности или недостоверности того или иного доказательства, преимуществе одних доказательств перед другими (</w:t>
      </w:r>
      <w:hyperlink r:id="rId36" w:history="1">
        <w:r>
          <w:rPr>
            <w:color w:val="0000FF"/>
          </w:rPr>
          <w:t>часть 2 статьи 287</w:t>
        </w:r>
      </w:hyperlink>
      <w:r>
        <w:t xml:space="preserve"> Арбитражного процессуального кодекса Российской Федерации).</w:t>
      </w:r>
    </w:p>
    <w:p w:rsidR="003D5E81" w:rsidRDefault="003D5E81">
      <w:pPr>
        <w:pStyle w:val="ConsPlusNormal"/>
        <w:spacing w:before="240"/>
        <w:ind w:firstLine="540"/>
        <w:jc w:val="both"/>
      </w:pPr>
      <w:r>
        <w:t>Иные доводы ответчика направлены на переоценку имеющихся в материалах дела доказательств, что не относится к ведению суда кассационной инстанции.</w:t>
      </w:r>
    </w:p>
    <w:p w:rsidR="003D5E81" w:rsidRDefault="003D5E81">
      <w:pPr>
        <w:pStyle w:val="ConsPlusNormal"/>
        <w:spacing w:before="240"/>
        <w:ind w:firstLine="540"/>
        <w:jc w:val="both"/>
      </w:pPr>
      <w:r>
        <w:t>Нарушений норм процессуального права, являющихся безусловным основанием для отмены судебного акта, судом не допущено.</w:t>
      </w:r>
    </w:p>
    <w:p w:rsidR="003D5E81" w:rsidRDefault="003D5E81">
      <w:pPr>
        <w:pStyle w:val="ConsPlusNormal"/>
        <w:spacing w:before="240"/>
        <w:ind w:firstLine="540"/>
        <w:jc w:val="both"/>
      </w:pPr>
      <w:r>
        <w:t xml:space="preserve">На основании изложенного, руководствуясь </w:t>
      </w:r>
      <w:hyperlink r:id="rId37" w:history="1">
        <w:r>
          <w:rPr>
            <w:color w:val="0000FF"/>
          </w:rPr>
          <w:t>статьями 284</w:t>
        </w:r>
      </w:hyperlink>
      <w:r>
        <w:t xml:space="preserve">, </w:t>
      </w:r>
      <w:hyperlink r:id="rId38" w:history="1">
        <w:r>
          <w:rPr>
            <w:color w:val="0000FF"/>
          </w:rPr>
          <w:t>286</w:t>
        </w:r>
      </w:hyperlink>
      <w:r>
        <w:t xml:space="preserve"> - </w:t>
      </w:r>
      <w:hyperlink r:id="rId39" w:history="1">
        <w:r>
          <w:rPr>
            <w:color w:val="0000FF"/>
          </w:rPr>
          <w:t>289</w:t>
        </w:r>
      </w:hyperlink>
      <w:r>
        <w:t xml:space="preserve"> Арбитражного процессуального кодекса Российской Федерации, Арбитражный суд Московского округа</w:t>
      </w:r>
    </w:p>
    <w:p w:rsidR="003D5E81" w:rsidRDefault="003D5E81">
      <w:pPr>
        <w:pStyle w:val="ConsPlusNormal"/>
        <w:jc w:val="center"/>
      </w:pPr>
    </w:p>
    <w:p w:rsidR="003D5E81" w:rsidRDefault="003D5E81">
      <w:pPr>
        <w:pStyle w:val="ConsPlusNormal"/>
        <w:jc w:val="center"/>
      </w:pPr>
      <w:r>
        <w:t>постановил:</w:t>
      </w:r>
    </w:p>
    <w:p w:rsidR="003D5E81" w:rsidRDefault="003D5E81">
      <w:pPr>
        <w:pStyle w:val="ConsPlusNormal"/>
        <w:jc w:val="center"/>
      </w:pPr>
    </w:p>
    <w:p w:rsidR="003D5E81" w:rsidRDefault="003D5E81">
      <w:pPr>
        <w:pStyle w:val="ConsPlusNormal"/>
        <w:ind w:firstLine="540"/>
        <w:jc w:val="both"/>
      </w:pPr>
      <w:hyperlink r:id="rId40" w:history="1">
        <w:r>
          <w:rPr>
            <w:color w:val="0000FF"/>
          </w:rPr>
          <w:t>постановление</w:t>
        </w:r>
      </w:hyperlink>
      <w:r>
        <w:t xml:space="preserve"> Девятого арбитражного апелляционного суда от 05 марта 2019 года по делу N А40-218394/2018 оставить без изменения, кассационную жалобу - без удовлетворения.</w:t>
      </w:r>
    </w:p>
    <w:p w:rsidR="003D5E81" w:rsidRDefault="003D5E81">
      <w:pPr>
        <w:pStyle w:val="ConsPlusNormal"/>
        <w:ind w:firstLine="540"/>
        <w:jc w:val="both"/>
      </w:pPr>
    </w:p>
    <w:p w:rsidR="003D5E81" w:rsidRDefault="003D5E81">
      <w:pPr>
        <w:pStyle w:val="ConsPlusNormal"/>
        <w:jc w:val="right"/>
      </w:pPr>
      <w:r>
        <w:t>Председательствующий судья</w:t>
      </w:r>
    </w:p>
    <w:p w:rsidR="003D5E81" w:rsidRDefault="003D5E81">
      <w:pPr>
        <w:pStyle w:val="ConsPlusNormal"/>
        <w:jc w:val="right"/>
      </w:pPr>
      <w:r>
        <w:t>Н.С.КАЛИНИНА</w:t>
      </w:r>
    </w:p>
    <w:p w:rsidR="003D5E81" w:rsidRDefault="003D5E81">
      <w:pPr>
        <w:pStyle w:val="ConsPlusNormal"/>
        <w:jc w:val="right"/>
      </w:pPr>
    </w:p>
    <w:p w:rsidR="003D5E81" w:rsidRDefault="003D5E81">
      <w:pPr>
        <w:pStyle w:val="ConsPlusNormal"/>
        <w:jc w:val="right"/>
      </w:pPr>
      <w:r>
        <w:t>Судьи</w:t>
      </w:r>
    </w:p>
    <w:p w:rsidR="003D5E81" w:rsidRDefault="003D5E81">
      <w:pPr>
        <w:pStyle w:val="ConsPlusNormal"/>
        <w:jc w:val="right"/>
      </w:pPr>
      <w:r>
        <w:t>А.Р.БЕЛОВА</w:t>
      </w:r>
    </w:p>
    <w:p w:rsidR="003D5E81" w:rsidRDefault="003D5E81">
      <w:pPr>
        <w:pStyle w:val="ConsPlusNormal"/>
        <w:jc w:val="right"/>
      </w:pPr>
      <w:r>
        <w:t>Н.Н.БОЧАРОВА</w:t>
      </w:r>
    </w:p>
    <w:p w:rsidR="003D5E81" w:rsidRDefault="003D5E81">
      <w:pPr>
        <w:pStyle w:val="ConsPlusNormal"/>
        <w:ind w:firstLine="540"/>
        <w:jc w:val="both"/>
      </w:pPr>
    </w:p>
    <w:p w:rsidR="003D5E81" w:rsidRDefault="003D5E81">
      <w:pPr>
        <w:pStyle w:val="ConsPlusNormal"/>
        <w:ind w:firstLine="540"/>
        <w:jc w:val="both"/>
      </w:pPr>
    </w:p>
    <w:p w:rsidR="003D5E81" w:rsidRDefault="003D5E81">
      <w:pPr>
        <w:pStyle w:val="ConsPlusNormal"/>
        <w:pBdr>
          <w:top w:val="single" w:sz="6" w:space="0" w:color="auto"/>
        </w:pBdr>
        <w:spacing w:before="100" w:after="100"/>
        <w:jc w:val="both"/>
        <w:rPr>
          <w:sz w:val="2"/>
          <w:szCs w:val="2"/>
        </w:rPr>
      </w:pPr>
    </w:p>
    <w:p w:rsidR="001552FE" w:rsidRDefault="003D5E81">
      <w:bookmarkStart w:id="0" w:name="_GoBack"/>
      <w:bookmarkEnd w:id="0"/>
    </w:p>
    <w:sectPr w:rsidR="001552FE" w:rsidSect="0048412C">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81"/>
    <w:rsid w:val="00321B45"/>
    <w:rsid w:val="003D5E81"/>
    <w:rsid w:val="0048677B"/>
    <w:rsid w:val="00536E16"/>
    <w:rsid w:val="005C5D8E"/>
    <w:rsid w:val="00852EFF"/>
    <w:rsid w:val="00957F33"/>
    <w:rsid w:val="00963F56"/>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E81"/>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3D5E81"/>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3D5E8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E81"/>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3D5E81"/>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3D5E8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15252BDC0AD0963268E6F8A2AEA27DFBC72A8BA2C66B4E5A3BB081534C06CD18E3B68A52C44F97B03CDAF1E8C051t33FJ" TargetMode="External"/><Relationship Id="rId13" Type="http://schemas.openxmlformats.org/officeDocument/2006/relationships/hyperlink" Target="consultantplus://offline/ref=E315252BDC0AD0963268E7F8A7D7F72EF7C12F88AFC6631B0D39E1D45D490E9D50F3EACF07C84796AA378DBEAE955E3E42A950DEFAFF67DFt53AJ" TargetMode="External"/><Relationship Id="rId18" Type="http://schemas.openxmlformats.org/officeDocument/2006/relationships/hyperlink" Target="consultantplus://offline/ref=E315252BDC0AD0963268E7F8A7D7F72EF5C7288EA6C3631B0D39E1D45D490E9D50F3EACF07C94C91AA378DBEAE955E3E42A950DEFAFF67DFt53AJ" TargetMode="External"/><Relationship Id="rId26" Type="http://schemas.openxmlformats.org/officeDocument/2006/relationships/hyperlink" Target="consultantplus://offline/ref=E315252BDC0AD0963268E7F8A7D7F72EF4CF288CAFC7631B0D39E1D45D490E9D50F3EACF07CB489EA6378DBEAE955E3E42A950DEFAFF67DFt53AJ" TargetMode="External"/><Relationship Id="rId39" Type="http://schemas.openxmlformats.org/officeDocument/2006/relationships/hyperlink" Target="consultantplus://offline/ref=E315252BDC0AD0963268E7F8A7D7F72EF5C7288EA6C3631B0D39E1D45D490E9D50F3EACF07C84697AE378DBEAE955E3E42A950DEFAFF67DFt53AJ" TargetMode="External"/><Relationship Id="rId3" Type="http://schemas.openxmlformats.org/officeDocument/2006/relationships/settings" Target="settings.xml"/><Relationship Id="rId21" Type="http://schemas.openxmlformats.org/officeDocument/2006/relationships/hyperlink" Target="consultantplus://offline/ref=E315252BDC0AD0963268E6F8A2AEA27DFBC72A8BA2C66B4E5A3BB081534C06CD18E3B68A52C44F97B03CDAF1E8C051t33FJ" TargetMode="External"/><Relationship Id="rId34" Type="http://schemas.openxmlformats.org/officeDocument/2006/relationships/hyperlink" Target="consultantplus://offline/ref=E315252BDC0AD0963268E7F8A7D7F72EF5C7288EA6C3631B0D39E1D45D490E9D50F3EACF07C8479EAD378DBEAE955E3E42A950DEFAFF67DFt53AJ" TargetMode="External"/><Relationship Id="rId42" Type="http://schemas.openxmlformats.org/officeDocument/2006/relationships/theme" Target="theme/theme1.xml"/><Relationship Id="rId7" Type="http://schemas.openxmlformats.org/officeDocument/2006/relationships/hyperlink" Target="consultantplus://offline/ref=E315252BDC0AD0963268E6F8A2AEA27DFBC72A8BA2C66B4E5A3BB081534C06CD18E3B68A52C44F97B03CDAF1E8C051t33FJ" TargetMode="External"/><Relationship Id="rId12" Type="http://schemas.openxmlformats.org/officeDocument/2006/relationships/hyperlink" Target="consultantplus://offline/ref=E315252BDC0AD0963268E6F8A2AEA27DFBC72A8BA2C66B4E5A3BB081534C06CD18E3B68A52C44F97B03CDAF1E8C051t33FJ" TargetMode="External"/><Relationship Id="rId17" Type="http://schemas.openxmlformats.org/officeDocument/2006/relationships/hyperlink" Target="consultantplus://offline/ref=E315252BDC0AD0963268E7F8A7D7F72EF4CF288CAFC5631B0D39E1D45D490E9D50F3EACF07C8469EA7378DBEAE955E3E42A950DEFAFF67DFt53AJ" TargetMode="External"/><Relationship Id="rId25" Type="http://schemas.openxmlformats.org/officeDocument/2006/relationships/hyperlink" Target="consultantplus://offline/ref=E315252BDC0AD0963268E7F8A7D7F72EF4CF288CAFC7631B0D39E1D45D490E9D50F3EACF07CB4891AF378DBEAE955E3E42A950DEFAFF67DFt53AJ" TargetMode="External"/><Relationship Id="rId33" Type="http://schemas.openxmlformats.org/officeDocument/2006/relationships/hyperlink" Target="consultantplus://offline/ref=E315252BDC0AD0963268E7F8A7D7F72EF4CF288CAFC5631B0D39E1D45D490E9D50F3EACF07CF4994A56888ABBFCD533F5DB753C3E6FD65tD3CJ" TargetMode="External"/><Relationship Id="rId38" Type="http://schemas.openxmlformats.org/officeDocument/2006/relationships/hyperlink" Target="consultantplus://offline/ref=E315252BDC0AD0963268E7F8A7D7F72EF5C7288EA6C3631B0D39E1D45D490E9D50F3EACF07C8479EAC378DBEAE955E3E42A950DEFAFF67DFt53AJ" TargetMode="External"/><Relationship Id="rId2" Type="http://schemas.microsoft.com/office/2007/relationships/stylesWithEffects" Target="stylesWithEffects.xml"/><Relationship Id="rId16" Type="http://schemas.openxmlformats.org/officeDocument/2006/relationships/hyperlink" Target="consultantplus://offline/ref=E315252BDC0AD0963268E7F8A7D7F72EF7C12F88AFC6631B0D39E1D45D490E9D50F3EACF07C84796AA378DBEAE955E3E42A950DEFAFF67DFt53AJ" TargetMode="External"/><Relationship Id="rId20" Type="http://schemas.openxmlformats.org/officeDocument/2006/relationships/hyperlink" Target="consultantplus://offline/ref=E315252BDC0AD0963268E7F8A7D7F72EF5C7288EA6C3631B0D39E1D45D490E9D50F3EACF07C8479EAC378DBEAE955E3E42A950DEFAFF67DFt53AJ" TargetMode="External"/><Relationship Id="rId29" Type="http://schemas.openxmlformats.org/officeDocument/2006/relationships/hyperlink" Target="consultantplus://offline/ref=E315252BDC0AD0963268E7F8A7D7F72EF4C72E8EAFC7631B0D39E1D45D490E9D50F3EACF07C94E94AB378DBEAE955E3E42A950DEFAFF67DFt53AJ"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315252BDC0AD0963268E6F8A2AEA27DFBC72A8BA2C66B4E5A3BB081534C06CD18E3B68A52C44F97B03CDAF1E8C051t33FJ" TargetMode="External"/><Relationship Id="rId11" Type="http://schemas.openxmlformats.org/officeDocument/2006/relationships/hyperlink" Target="consultantplus://offline/ref=E315252BDC0AD0963268E6F8A2AEA27DFBC72A8BA2C66B4E5A3BB081534C06CD18E3B68A52C44F97B03CDAF1E8C051t33FJ" TargetMode="External"/><Relationship Id="rId24" Type="http://schemas.openxmlformats.org/officeDocument/2006/relationships/hyperlink" Target="consultantplus://offline/ref=E315252BDC0AD0963268E7F8A7D7F72EF4CF288CAFC5631B0D39E1D45D490E9D50F3EACF07CF4A9EA56888ABBFCD533F5DB753C3E6FD65tD3CJ" TargetMode="External"/><Relationship Id="rId32" Type="http://schemas.openxmlformats.org/officeDocument/2006/relationships/hyperlink" Target="consultantplus://offline/ref=E315252BDC0AD0963268E7F8A7D7F72EF4CF288CAFC5631B0D39E1D45D490E9D50F3EACF07CF4F90A56888ABBFCD533F5DB753C3E6FD65tD3CJ" TargetMode="External"/><Relationship Id="rId37" Type="http://schemas.openxmlformats.org/officeDocument/2006/relationships/hyperlink" Target="consultantplus://offline/ref=E315252BDC0AD0963268E7F8A7D7F72EF5C7288EA6C3631B0D39E1D45D490E9D50F3EACF07C84791A8378DBEAE955E3E42A950DEFAFF67DFt53AJ" TargetMode="External"/><Relationship Id="rId40" Type="http://schemas.openxmlformats.org/officeDocument/2006/relationships/hyperlink" Target="consultantplus://offline/ref=E315252BDC0AD0963268E6F8A2AEA27DFBC72A8BA2C66B4E5A3BB081534C06CD18E3B68A52C44F97B03CDAF1E8C051t33F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315252BDC0AD0963268E7F8A7D7F72EF7C12F88AFC6631B0D39E1D45D490E9D50F3EACF07C84796AA378DBEAE955E3E42A950DEFAFF67DFt53AJ" TargetMode="External"/><Relationship Id="rId23" Type="http://schemas.openxmlformats.org/officeDocument/2006/relationships/hyperlink" Target="consultantplus://offline/ref=E315252BDC0AD0963268E7F8A7D7F72EF4CF288CAFC5631B0D39E1D45D490E9D50F3EACF07CF4F90A56888ABBFCD533F5DB753C3E6FD65tD3CJ" TargetMode="External"/><Relationship Id="rId28" Type="http://schemas.openxmlformats.org/officeDocument/2006/relationships/hyperlink" Target="consultantplus://offline/ref=E315252BDC0AD0963268E7F8A7D7F72EF4CF288CAFC7631B0D39E1D45D490E9D50F3EACF07CB489FAE378DBEAE955E3E42A950DEFAFF67DFt53AJ" TargetMode="External"/><Relationship Id="rId36" Type="http://schemas.openxmlformats.org/officeDocument/2006/relationships/hyperlink" Target="consultantplus://offline/ref=E315252BDC0AD0963268E7F8A7D7F72EF5C7288EA6C3631B0D39E1D45D490E9D50F3EACF07C8479FAA378DBEAE955E3E42A950DEFAFF67DFt53AJ" TargetMode="External"/><Relationship Id="rId10" Type="http://schemas.openxmlformats.org/officeDocument/2006/relationships/hyperlink" Target="consultantplus://offline/ref=E315252BDC0AD0963268E7F8A7D7F72EF5C7288EA6C3631B0D39E1D45D490E9D50F3EACF07C84791A8378DBEAE955E3E42A950DEFAFF67DFt53AJ" TargetMode="External"/><Relationship Id="rId19" Type="http://schemas.openxmlformats.org/officeDocument/2006/relationships/hyperlink" Target="consultantplus://offline/ref=E315252BDC0AD0963268E6F8A2AEA27DFBC72A8BA2C66B4E5A3BB081534C06CD18E3B68A52C44F97B03CDAF1E8C051t33FJ" TargetMode="External"/><Relationship Id="rId31" Type="http://schemas.openxmlformats.org/officeDocument/2006/relationships/hyperlink" Target="consultantplus://offline/ref=E315252BDC0AD0963268E7F8A7D7F72EF4CF288CAFC5631B0D39E1D45D490E9D50F3EACF07C84696AE378DBEAE955E3E42A950DEFAFF67DFt53AJ" TargetMode="External"/><Relationship Id="rId4" Type="http://schemas.openxmlformats.org/officeDocument/2006/relationships/webSettings" Target="webSettings.xml"/><Relationship Id="rId9" Type="http://schemas.openxmlformats.org/officeDocument/2006/relationships/hyperlink" Target="consultantplus://offline/ref=E315252BDC0AD0963268E7F8A7D7F72EF5C7288EA6C3631B0D39E1D45D490E9D50F3EACF07C84796A6378DBEAE955E3E42A950DEFAFF67DFt53AJ" TargetMode="External"/><Relationship Id="rId14" Type="http://schemas.openxmlformats.org/officeDocument/2006/relationships/hyperlink" Target="consultantplus://offline/ref=E315252BDC0AD0963268E7F8A7D7F72EF7C12F88AFC6631B0D39E1D45D490E9D50F3EACF07C84796AA378DBEAE955E3E42A950DEFAFF67DFt53AJ" TargetMode="External"/><Relationship Id="rId22" Type="http://schemas.openxmlformats.org/officeDocument/2006/relationships/hyperlink" Target="consultantplus://offline/ref=E315252BDC0AD0963268E7F8A7D7F72EF5C7288EA6C3631B0D39E1D45D490E9D50F3EACF07C94B97A7378DBEAE955E3E42A950DEFAFF67DFt53AJ" TargetMode="External"/><Relationship Id="rId27" Type="http://schemas.openxmlformats.org/officeDocument/2006/relationships/hyperlink" Target="consultantplus://offline/ref=E315252BDC0AD0963268E7F8A7D7F72EF4CF288CAFC5631B0D39E1D45D490E9D50F3EACF07C8479FA9378DBEAE955E3E42A950DEFAFF67DFt53AJ" TargetMode="External"/><Relationship Id="rId30" Type="http://schemas.openxmlformats.org/officeDocument/2006/relationships/hyperlink" Target="consultantplus://offline/ref=E315252BDC0AD0963268E7F8A7D7F72EF4CF288CAFC5631B0D39E1D45D490E9D50F3EACF07C8479FA9378DBEAE955E3E42A950DEFAFF67DFt53AJ" TargetMode="External"/><Relationship Id="rId35" Type="http://schemas.openxmlformats.org/officeDocument/2006/relationships/hyperlink" Target="consultantplus://offline/ref=E315252BDC0AD0963268E7F8A7D7F72EF5C7288EA6C3631B0D39E1D45D490E9D50F3EACF07C8479EAB378DBEAE955E3E42A950DEFAFF67DFt53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3039</Words>
  <Characters>17328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2021-03-01T09:55:00Z</dcterms:created>
  <dcterms:modified xsi:type="dcterms:W3CDTF">2021-03-01T09:56:00Z</dcterms:modified>
</cp:coreProperties>
</file>