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DA9" w:rsidRDefault="009F3DA9">
      <w:pPr>
        <w:pStyle w:val="ConsPlusTitlePage"/>
      </w:pPr>
      <w:r>
        <w:t xml:space="preserve">Документ предоставлен </w:t>
      </w:r>
      <w:hyperlink r:id="rId5" w:history="1">
        <w:r>
          <w:rPr>
            <w:color w:val="0000FF"/>
          </w:rPr>
          <w:t>КонсультантПлюс</w:t>
        </w:r>
      </w:hyperlink>
      <w:r>
        <w:br/>
      </w:r>
    </w:p>
    <w:p w:rsidR="009F3DA9" w:rsidRDefault="009F3DA9">
      <w:pPr>
        <w:pStyle w:val="ConsPlusNormal"/>
        <w:ind w:firstLine="540"/>
        <w:jc w:val="both"/>
        <w:outlineLvl w:val="0"/>
      </w:pPr>
    </w:p>
    <w:p w:rsidR="009F3DA9" w:rsidRDefault="009F3DA9">
      <w:pPr>
        <w:pStyle w:val="ConsPlusTitle"/>
        <w:jc w:val="center"/>
        <w:outlineLvl w:val="0"/>
      </w:pPr>
      <w:r>
        <w:t>УПРАВЛЕНИЕ ФЕДЕРАЛЬНОЙ АНТИМОНОПОЛЬНОЙ СЛУЖБЫ</w:t>
      </w:r>
    </w:p>
    <w:p w:rsidR="009F3DA9" w:rsidRDefault="009F3DA9">
      <w:pPr>
        <w:pStyle w:val="ConsPlusTitle"/>
        <w:jc w:val="center"/>
      </w:pPr>
      <w:r>
        <w:t>ПО ХАНТЫ-МАНСИЙСКОМУ АВТОНОМНОМУ ОКРУГУ - ЮГРЕ</w:t>
      </w:r>
    </w:p>
    <w:p w:rsidR="009F3DA9" w:rsidRDefault="009F3DA9">
      <w:pPr>
        <w:pStyle w:val="ConsPlusTitle"/>
        <w:jc w:val="center"/>
      </w:pPr>
    </w:p>
    <w:p w:rsidR="009F3DA9" w:rsidRDefault="009F3DA9">
      <w:pPr>
        <w:pStyle w:val="ConsPlusTitle"/>
        <w:jc w:val="center"/>
      </w:pPr>
      <w:r>
        <w:t>РЕШЕНИЕ</w:t>
      </w:r>
    </w:p>
    <w:p w:rsidR="009F3DA9" w:rsidRDefault="009F3DA9">
      <w:pPr>
        <w:pStyle w:val="ConsPlusTitle"/>
        <w:jc w:val="center"/>
      </w:pPr>
      <w:r>
        <w:t>от 6 ноября 2020 г. N 086/06/67-1836/2020</w:t>
      </w:r>
    </w:p>
    <w:p w:rsidR="009F3DA9" w:rsidRDefault="009F3DA9">
      <w:pPr>
        <w:pStyle w:val="ConsPlusNormal"/>
        <w:ind w:firstLine="540"/>
        <w:jc w:val="both"/>
      </w:pPr>
    </w:p>
    <w:p w:rsidR="009F3DA9" w:rsidRDefault="009F3DA9">
      <w:pPr>
        <w:pStyle w:val="ConsPlusNormal"/>
        <w:ind w:firstLine="540"/>
        <w:jc w:val="both"/>
      </w:pPr>
      <w:r>
        <w:t>Резолютивная часть объявлена 02.11.2020</w:t>
      </w:r>
    </w:p>
    <w:p w:rsidR="009F3DA9" w:rsidRDefault="009F3DA9">
      <w:pPr>
        <w:pStyle w:val="ConsPlusNormal"/>
        <w:spacing w:before="240"/>
        <w:ind w:firstLine="540"/>
        <w:jc w:val="both"/>
      </w:pPr>
      <w:r>
        <w:t>Изготовлено в полном объеме 06.11.2020</w:t>
      </w:r>
    </w:p>
    <w:p w:rsidR="009F3DA9" w:rsidRDefault="009F3DA9">
      <w:pPr>
        <w:pStyle w:val="ConsPlusNormal"/>
        <w:spacing w:before="240"/>
        <w:ind w:firstLine="540"/>
        <w:jc w:val="both"/>
      </w:pPr>
      <w:r>
        <w:t>Комиссия Управления Федеральной антимонопольной службы по Ханты-Мансийскому автономному округу - Югре (далее - Комиссия Управления) по контролю в сфере закупок товаров, работ, услуг для обеспечения государственных и муниципальных нужд в составе:</w:t>
      </w:r>
    </w:p>
    <w:p w:rsidR="009F3DA9" w:rsidRDefault="009F3DA9">
      <w:pPr>
        <w:pStyle w:val="ConsPlusNormal"/>
        <w:spacing w:before="240"/>
        <w:ind w:firstLine="540"/>
        <w:jc w:val="both"/>
      </w:pPr>
      <w:r>
        <w:t>Председателя комиссии:</w:t>
      </w:r>
    </w:p>
    <w:p w:rsidR="009F3DA9" w:rsidRDefault="009F3DA9">
      <w:pPr>
        <w:pStyle w:val="ConsPlusNormal"/>
        <w:spacing w:before="240"/>
        <w:ind w:firstLine="540"/>
        <w:jc w:val="both"/>
      </w:pPr>
      <w:r>
        <w:t>- М.А.- Заместитель руководителя Управления;</w:t>
      </w:r>
    </w:p>
    <w:p w:rsidR="009F3DA9" w:rsidRDefault="009F3DA9">
      <w:pPr>
        <w:pStyle w:val="ConsPlusNormal"/>
        <w:spacing w:before="240"/>
        <w:ind w:firstLine="540"/>
        <w:jc w:val="both"/>
      </w:pPr>
      <w:r>
        <w:t>Членов комиссии:</w:t>
      </w:r>
    </w:p>
    <w:p w:rsidR="009F3DA9" w:rsidRDefault="009F3DA9">
      <w:pPr>
        <w:pStyle w:val="ConsPlusNormal"/>
        <w:spacing w:before="240"/>
        <w:ind w:firstLine="540"/>
        <w:jc w:val="both"/>
      </w:pPr>
      <w:r>
        <w:t>- В.Р. - Начальник отдела Управления;</w:t>
      </w:r>
    </w:p>
    <w:p w:rsidR="009F3DA9" w:rsidRDefault="009F3DA9">
      <w:pPr>
        <w:pStyle w:val="ConsPlusNormal"/>
        <w:spacing w:before="240"/>
        <w:ind w:firstLine="540"/>
        <w:jc w:val="both"/>
      </w:pPr>
      <w:r>
        <w:t>- Б. - Государственный инспектор отдела Управления,</w:t>
      </w:r>
    </w:p>
    <w:p w:rsidR="009F3DA9" w:rsidRDefault="009F3DA9">
      <w:pPr>
        <w:pStyle w:val="ConsPlusNormal"/>
        <w:spacing w:before="240"/>
        <w:ind w:firstLine="540"/>
        <w:jc w:val="both"/>
      </w:pPr>
      <w:r>
        <w:t>от Заявителя - посредством видеоконференц-связи М.С. по доверенности N 1 от 02.11.2020 г.;</w:t>
      </w:r>
    </w:p>
    <w:p w:rsidR="009F3DA9" w:rsidRDefault="009F3DA9">
      <w:pPr>
        <w:pStyle w:val="ConsPlusNormal"/>
        <w:spacing w:before="240"/>
        <w:ind w:firstLine="540"/>
        <w:jc w:val="both"/>
      </w:pPr>
      <w:r>
        <w:t>от Заказчика - посредством видеоконференц-связи К. по доверенности N 40-20 от 29.10.2020,</w:t>
      </w:r>
    </w:p>
    <w:p w:rsidR="009F3DA9" w:rsidRDefault="009F3DA9">
      <w:pPr>
        <w:pStyle w:val="ConsPlusNormal"/>
        <w:spacing w:before="240"/>
        <w:ind w:firstLine="540"/>
        <w:jc w:val="both"/>
      </w:pPr>
      <w:proofErr w:type="gramStart"/>
      <w:r>
        <w:t>рассмотрев жалобу ИП Г. (ИНН &lt;...</w:t>
      </w:r>
      <w:proofErr w:type="gramEnd"/>
      <w:r>
        <w:t xml:space="preserve">&gt; </w:t>
      </w:r>
      <w:proofErr w:type="gramStart"/>
      <w:r>
        <w:t xml:space="preserve">ОГРНИП 308552220700014) от 26.10.2020 N 2095-ж на действия Заказчика - Бюджетное учреждение Ханты-Мансийского автономного округа - Югры "Нижневартовский районный комплексный центр социального обслуживания населения", при проведении электронного аукциона предметом, которого является поставка продуктов питания (извещение N 0387200009020000078) и в результате осуществления внеплановой проверки в соответствии с </w:t>
      </w:r>
      <w:hyperlink r:id="rId6" w:history="1">
        <w:r>
          <w:rPr>
            <w:color w:val="0000FF"/>
          </w:rPr>
          <w:t>пунктом 1 части 15 статьи 99</w:t>
        </w:r>
      </w:hyperlink>
      <w:r>
        <w:t xml:space="preserve"> Федерального закона от 05.04.2013 N 44-ФЗ "О контрактной системе в</w:t>
      </w:r>
      <w:proofErr w:type="gramEnd"/>
      <w:r>
        <w:t xml:space="preserve"> сфере закупок товаров, работ, услуг для обеспечения государственных и муниципальных нужд" (далее - Закон о контрактной системе),</w:t>
      </w:r>
    </w:p>
    <w:p w:rsidR="009F3DA9" w:rsidRDefault="009F3DA9">
      <w:pPr>
        <w:pStyle w:val="ConsPlusNormal"/>
        <w:jc w:val="center"/>
      </w:pPr>
    </w:p>
    <w:p w:rsidR="009F3DA9" w:rsidRDefault="009F3DA9">
      <w:pPr>
        <w:pStyle w:val="ConsPlusNormal"/>
        <w:jc w:val="center"/>
      </w:pPr>
      <w:r>
        <w:t>установила:</w:t>
      </w:r>
    </w:p>
    <w:p w:rsidR="009F3DA9" w:rsidRDefault="009F3DA9">
      <w:pPr>
        <w:pStyle w:val="ConsPlusNormal"/>
        <w:jc w:val="center"/>
      </w:pPr>
    </w:p>
    <w:p w:rsidR="009F3DA9" w:rsidRDefault="009F3DA9">
      <w:pPr>
        <w:pStyle w:val="ConsPlusNormal"/>
        <w:ind w:firstLine="540"/>
        <w:jc w:val="both"/>
      </w:pPr>
      <w:proofErr w:type="gramStart"/>
      <w:r>
        <w:t>В Управление Федеральной антимонопольной службы по Ханты-Мансийскому автономному округу - Югре поступила жалоба ИП Г. (ИНН &lt;...</w:t>
      </w:r>
      <w:proofErr w:type="gramEnd"/>
      <w:r>
        <w:t xml:space="preserve">&gt; </w:t>
      </w:r>
      <w:proofErr w:type="gramStart"/>
      <w:r>
        <w:t>ОГРНИП 308552220700014) от 26.10.2020 N 2095-ж на действия Заказчика при проведении электронного аукциона (извещение N 0387200009020000078).</w:t>
      </w:r>
      <w:proofErr w:type="gramEnd"/>
    </w:p>
    <w:p w:rsidR="009F3DA9" w:rsidRDefault="009F3DA9">
      <w:pPr>
        <w:pStyle w:val="ConsPlusNormal"/>
        <w:spacing w:before="240"/>
        <w:ind w:firstLine="540"/>
        <w:jc w:val="both"/>
      </w:pPr>
      <w:r>
        <w:t>В доводе жалобы Заявитель указал следующее:</w:t>
      </w:r>
    </w:p>
    <w:p w:rsidR="009F3DA9" w:rsidRDefault="009F3DA9">
      <w:pPr>
        <w:pStyle w:val="ConsPlusNormal"/>
        <w:spacing w:before="240"/>
        <w:ind w:firstLine="540"/>
        <w:jc w:val="both"/>
      </w:pPr>
      <w:r>
        <w:t>По данному электронному аукциону было подано 4 (четыре) заявки, 4 (четыре) из которых были признаны соответствующими требованиям документации о закупке, одна из них содержала исключительно предложения о поставке товаров, происходящих из государств - членов Евразийского экономического союза.</w:t>
      </w:r>
    </w:p>
    <w:p w:rsidR="009F3DA9" w:rsidRDefault="009F3DA9">
      <w:pPr>
        <w:pStyle w:val="ConsPlusNormal"/>
        <w:spacing w:before="240"/>
        <w:ind w:firstLine="540"/>
        <w:jc w:val="both"/>
        <w:outlineLvl w:val="1"/>
      </w:pPr>
      <w:r>
        <w:t xml:space="preserve">На момент подачи заявок участник должен лишь декларировать страну происхождения, никак не </w:t>
      </w:r>
      <w:r>
        <w:lastRenderedPageBreak/>
        <w:t>подтверждая ее документально. В закупке были такие товары как: апельсины, бананы, мандарины и лимоны. Учитывая, что данный вид товара на территории не производится, мы должны понимать, что такие заявки изначально поданы с нарушением.</w:t>
      </w:r>
    </w:p>
    <w:p w:rsidR="009F3DA9" w:rsidRDefault="009F3DA9">
      <w:pPr>
        <w:pStyle w:val="ConsPlusNormal"/>
        <w:spacing w:before="240"/>
        <w:ind w:firstLine="540"/>
        <w:jc w:val="both"/>
      </w:pPr>
      <w:r>
        <w:t>В результате проведения торгов, ИП Гурнович, был признан победителем.</w:t>
      </w:r>
    </w:p>
    <w:p w:rsidR="009F3DA9" w:rsidRDefault="009F3DA9">
      <w:pPr>
        <w:pStyle w:val="ConsPlusNormal"/>
        <w:spacing w:before="240"/>
        <w:ind w:firstLine="540"/>
        <w:jc w:val="both"/>
      </w:pPr>
      <w:r>
        <w:t xml:space="preserve">Исходя из информации, опубликованной в общем доступе на сайте ЕИС, Заказчиком были установлены ограничения, согласно </w:t>
      </w:r>
      <w:hyperlink r:id="rId7" w:history="1">
        <w:r>
          <w:rPr>
            <w:color w:val="0000FF"/>
          </w:rPr>
          <w:t>Приказу</w:t>
        </w:r>
      </w:hyperlink>
      <w:r>
        <w:t xml:space="preserve"> Минфина России N 126н от 04.06.2018.</w:t>
      </w:r>
    </w:p>
    <w:p w:rsidR="009F3DA9" w:rsidRDefault="009F3DA9">
      <w:pPr>
        <w:pStyle w:val="ConsPlusNormal"/>
        <w:spacing w:before="240"/>
        <w:ind w:firstLine="540"/>
        <w:jc w:val="both"/>
      </w:pPr>
      <w:r>
        <w:t>На этапе подписания контракта Заказчик применил снижение на 20% итоговой суммы контракта.</w:t>
      </w:r>
    </w:p>
    <w:p w:rsidR="009F3DA9" w:rsidRDefault="009F3DA9">
      <w:pPr>
        <w:pStyle w:val="ConsPlusNormal"/>
        <w:spacing w:before="240"/>
        <w:ind w:firstLine="540"/>
        <w:jc w:val="both"/>
      </w:pPr>
      <w:r>
        <w:t>Рассматривая практику УФАС, нашли заключение, что отклонение Заказчика на этапе подачи заявок правомерно, не смотря на отсутствие Таможенных деклараций на этапе подачи заявок.</w:t>
      </w:r>
    </w:p>
    <w:p w:rsidR="009F3DA9" w:rsidRDefault="009F3DA9">
      <w:pPr>
        <w:pStyle w:val="ConsPlusNormal"/>
        <w:spacing w:before="240"/>
        <w:ind w:firstLine="540"/>
        <w:jc w:val="both"/>
      </w:pPr>
      <w:r>
        <w:t>В ходе рассмотрения доводов сторон, материалов дела, Комиссией Управления установлено следующее.</w:t>
      </w:r>
    </w:p>
    <w:p w:rsidR="009F3DA9" w:rsidRDefault="009F3DA9">
      <w:pPr>
        <w:pStyle w:val="ConsPlusNormal"/>
        <w:spacing w:before="240"/>
        <w:ind w:firstLine="540"/>
        <w:jc w:val="both"/>
      </w:pPr>
      <w:proofErr w:type="gramStart"/>
      <w:r>
        <w:t xml:space="preserve">Согласно </w:t>
      </w:r>
      <w:hyperlink r:id="rId8" w:history="1">
        <w:r>
          <w:rPr>
            <w:color w:val="0000FF"/>
          </w:rPr>
          <w:t>части 1 статьи 14</w:t>
        </w:r>
      </w:hyperlink>
      <w:r>
        <w:t xml:space="preserve"> Закона о контрактной системе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roofErr w:type="gramEnd"/>
    </w:p>
    <w:p w:rsidR="009F3DA9" w:rsidRDefault="009F3DA9">
      <w:pPr>
        <w:pStyle w:val="ConsPlusNormal"/>
        <w:spacing w:before="240"/>
        <w:ind w:firstLine="540"/>
        <w:jc w:val="both"/>
      </w:pPr>
      <w:proofErr w:type="gramStart"/>
      <w:r>
        <w:t xml:space="preserve">В силу </w:t>
      </w:r>
      <w:hyperlink r:id="rId9" w:history="1">
        <w:r>
          <w:rPr>
            <w:color w:val="0000FF"/>
          </w:rPr>
          <w:t>части 3 статьи 14</w:t>
        </w:r>
      </w:hyperlink>
      <w:r>
        <w:t xml:space="preserve"> Закона о контрактной системе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нормативными правовыми актами Правительства Российской Федерации устанавливаются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w:t>
      </w:r>
      <w:proofErr w:type="gramEnd"/>
      <w:r>
        <w:t>, работ, услуг, включая минимальную обязательную долю закупок российских товаров, в том числе товаров, поставляемых при выполнении закупаемых работ, оказании закупаемых услуг (далее - минимальная доля закупок), и перечень таких товаров, для целей осуществления закупок. В случае</w:t>
      </w:r>
      <w:proofErr w:type="gramStart"/>
      <w:r>
        <w:t>,</w:t>
      </w:r>
      <w:proofErr w:type="gramEnd"/>
      <w:r>
        <w:t xml:space="preserve"> если указанными нормативными правовыми актами Правительства Российской Федерации предусмотрены обстоятельства, допускающие исключения из установленных в соответствии с настоящей частью запрета или ограничений, заказчики при наличии указанных обстоятельств размещают в единой информационной системе обоснование невозможности соблюдения указанных запрета или ограничений, если такими актами не установлено иное. В таких нормативных правовых актах устанавливается порядок </w:t>
      </w:r>
      <w:proofErr w:type="gramStart"/>
      <w:r>
        <w:t>подготовки обоснования невозможности соблюдения указанных запрета</w:t>
      </w:r>
      <w:proofErr w:type="gramEnd"/>
      <w:r>
        <w:t xml:space="preserve"> или ограничений, а также требования к его содержанию. Определение страны происхождения указанных товаров осуществляется в соответствии с законодательством Российской Федерации.</w:t>
      </w:r>
    </w:p>
    <w:p w:rsidR="009F3DA9" w:rsidRDefault="009F3DA9">
      <w:pPr>
        <w:pStyle w:val="ConsPlusNormal"/>
        <w:spacing w:before="240"/>
        <w:ind w:firstLine="540"/>
        <w:jc w:val="both"/>
      </w:pPr>
      <w:proofErr w:type="gramStart"/>
      <w:r>
        <w:t xml:space="preserve">Согласно </w:t>
      </w:r>
      <w:hyperlink r:id="rId10" w:history="1">
        <w:r>
          <w:rPr>
            <w:color w:val="0000FF"/>
          </w:rPr>
          <w:t>части 4 статьи 14</w:t>
        </w:r>
      </w:hyperlink>
      <w:r>
        <w:t xml:space="preserve"> Закона о контрактной системе 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w:t>
      </w:r>
      <w:proofErr w:type="gramEnd"/>
      <w:r>
        <w:t xml:space="preserve"> запрет в соответствии с </w:t>
      </w:r>
      <w:hyperlink r:id="rId11" w:history="1">
        <w:r>
          <w:rPr>
            <w:color w:val="0000FF"/>
          </w:rPr>
          <w:t>частью 3 настоящей статьи</w:t>
        </w:r>
      </w:hyperlink>
      <w:r>
        <w:t>.</w:t>
      </w:r>
    </w:p>
    <w:p w:rsidR="009F3DA9" w:rsidRDefault="009F3DA9">
      <w:pPr>
        <w:pStyle w:val="ConsPlusNormal"/>
        <w:spacing w:before="240"/>
        <w:ind w:firstLine="540"/>
        <w:jc w:val="both"/>
      </w:pPr>
      <w:proofErr w:type="gramStart"/>
      <w:r>
        <w:t xml:space="preserve">Согласно </w:t>
      </w:r>
      <w:hyperlink r:id="rId12" w:history="1">
        <w:r>
          <w:rPr>
            <w:color w:val="0000FF"/>
          </w:rPr>
          <w:t>части 10 статьи 42</w:t>
        </w:r>
      </w:hyperlink>
      <w:r>
        <w:t xml:space="preserve"> Закона о контрактной системе Заказчик обязан разместить извещение об осуществлении закупки в единой информационной системе, если иное не предусмотрено настоящим Федеральным </w:t>
      </w:r>
      <w:hyperlink r:id="rId13" w:history="1">
        <w:r>
          <w:rPr>
            <w:color w:val="0000FF"/>
          </w:rPr>
          <w:t>законом</w:t>
        </w:r>
      </w:hyperlink>
      <w:r>
        <w:t xml:space="preserve">. В извещении об осуществлении закупки должна содержаться, если иное не </w:t>
      </w:r>
      <w:r>
        <w:lastRenderedPageBreak/>
        <w:t xml:space="preserve">предусмотрено настоящим Федеральным </w:t>
      </w:r>
      <w:hyperlink r:id="rId14" w:history="1">
        <w:r>
          <w:rPr>
            <w:color w:val="0000FF"/>
          </w:rPr>
          <w:t>законом</w:t>
        </w:r>
      </w:hyperlink>
      <w:r>
        <w:t>, следующая информация: информация об условиях, о запретах и об ограничениях допуска товаров, происходящих из иностранного государства или группы иностранных</w:t>
      </w:r>
      <w:proofErr w:type="gramEnd"/>
      <w:r>
        <w:t xml:space="preserve"> государств, работ, услуг, соответственно выполняемых, оказываемых иностранными лицами, в случае, если данные условия, запреты и ограничения установлены заказчиком в соответствии со </w:t>
      </w:r>
      <w:hyperlink r:id="rId15" w:history="1">
        <w:r>
          <w:rPr>
            <w:color w:val="0000FF"/>
          </w:rPr>
          <w:t>статьей 14</w:t>
        </w:r>
      </w:hyperlink>
      <w:r>
        <w:t xml:space="preserve"> настоящего Федерального закона.</w:t>
      </w:r>
    </w:p>
    <w:p w:rsidR="009F3DA9" w:rsidRDefault="009F3DA9">
      <w:pPr>
        <w:pStyle w:val="ConsPlusNormal"/>
        <w:spacing w:before="240"/>
        <w:ind w:firstLine="540"/>
        <w:jc w:val="both"/>
      </w:pPr>
      <w:r>
        <w:t xml:space="preserve">В извещении данной закупки указано условие допуска для участников согласно </w:t>
      </w:r>
      <w:hyperlink r:id="rId16" w:history="1">
        <w:r>
          <w:rPr>
            <w:color w:val="0000FF"/>
          </w:rPr>
          <w:t>Приказу</w:t>
        </w:r>
      </w:hyperlink>
      <w:r>
        <w:t xml:space="preserve"> Минфина N 126н от 04.06.2018 г.</w:t>
      </w:r>
    </w:p>
    <w:p w:rsidR="009F3DA9" w:rsidRDefault="009F3DA9">
      <w:pPr>
        <w:pStyle w:val="ConsPlusNormal"/>
        <w:spacing w:before="240"/>
        <w:ind w:firstLine="540"/>
        <w:jc w:val="both"/>
      </w:pPr>
      <w:r>
        <w:t xml:space="preserve">Согласно </w:t>
      </w:r>
      <w:hyperlink r:id="rId17" w:history="1">
        <w:r>
          <w:rPr>
            <w:color w:val="0000FF"/>
          </w:rPr>
          <w:t>статье 64</w:t>
        </w:r>
      </w:hyperlink>
      <w:r>
        <w:t xml:space="preserve"> Закона о контрактной системе документация также должна содержать информацию, указанную в извещении.</w:t>
      </w:r>
    </w:p>
    <w:p w:rsidR="009F3DA9" w:rsidRDefault="009F3DA9">
      <w:pPr>
        <w:pStyle w:val="ConsPlusNormal"/>
        <w:spacing w:before="240"/>
        <w:ind w:firstLine="540"/>
        <w:jc w:val="both"/>
      </w:pPr>
      <w:r>
        <w:t>Согласно пункту 39 документации, установлено следующее требование:</w:t>
      </w:r>
    </w:p>
    <w:p w:rsidR="009F3DA9" w:rsidRDefault="009F3DA9">
      <w:pPr>
        <w:pStyle w:val="ConsPlusNormal"/>
        <w:ind w:firstLine="540"/>
        <w:jc w:val="both"/>
      </w:pPr>
    </w:p>
    <w:p w:rsidR="009F3DA9" w:rsidRDefault="009F3DA9">
      <w:pPr>
        <w:sectPr w:rsidR="009F3DA9" w:rsidSect="009745BA">
          <w:pgSz w:w="11906" w:h="16838"/>
          <w:pgMar w:top="1134" w:right="567" w:bottom="1134" w:left="567"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4876"/>
        <w:gridCol w:w="5216"/>
      </w:tblGrid>
      <w:tr w:rsidR="009F3DA9">
        <w:tc>
          <w:tcPr>
            <w:tcW w:w="680" w:type="dxa"/>
            <w:tcBorders>
              <w:top w:val="single" w:sz="4" w:space="0" w:color="auto"/>
              <w:bottom w:val="single" w:sz="4" w:space="0" w:color="auto"/>
            </w:tcBorders>
          </w:tcPr>
          <w:p w:rsidR="009F3DA9" w:rsidRDefault="009F3DA9">
            <w:pPr>
              <w:pStyle w:val="ConsPlusNormal"/>
            </w:pPr>
            <w:r>
              <w:lastRenderedPageBreak/>
              <w:t>39.</w:t>
            </w:r>
          </w:p>
        </w:tc>
        <w:tc>
          <w:tcPr>
            <w:tcW w:w="4876" w:type="dxa"/>
            <w:tcBorders>
              <w:top w:val="single" w:sz="4" w:space="0" w:color="auto"/>
              <w:bottom w:val="single" w:sz="4" w:space="0" w:color="auto"/>
            </w:tcBorders>
          </w:tcPr>
          <w:p w:rsidR="009F3DA9" w:rsidRDefault="009F3DA9">
            <w:pPr>
              <w:pStyle w:val="ConsPlusNormal"/>
            </w:pPr>
            <w:proofErr w:type="gramStart"/>
            <w: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w:t>
            </w:r>
            <w:hyperlink r:id="rId18" w:history="1">
              <w:r>
                <w:rPr>
                  <w:color w:val="0000FF"/>
                </w:rPr>
                <w:t>статьей 14</w:t>
              </w:r>
            </w:hyperlink>
            <w:r>
              <w:t xml:space="preserve"> Закона о контрактной системе</w:t>
            </w:r>
            <w:proofErr w:type="gramEnd"/>
          </w:p>
        </w:tc>
        <w:tc>
          <w:tcPr>
            <w:tcW w:w="5216" w:type="dxa"/>
            <w:tcBorders>
              <w:top w:val="single" w:sz="4" w:space="0" w:color="auto"/>
              <w:bottom w:val="single" w:sz="4" w:space="0" w:color="auto"/>
            </w:tcBorders>
          </w:tcPr>
          <w:p w:rsidR="009F3DA9" w:rsidRDefault="009F3DA9">
            <w:pPr>
              <w:pStyle w:val="ConsPlusNormal"/>
            </w:pPr>
            <w:r>
              <w:t>Установлено</w:t>
            </w:r>
          </w:p>
          <w:p w:rsidR="009F3DA9" w:rsidRDefault="009F3DA9">
            <w:pPr>
              <w:pStyle w:val="ConsPlusNormal"/>
            </w:pPr>
            <w:r>
              <w:t xml:space="preserve">В соответствии с </w:t>
            </w:r>
            <w:hyperlink r:id="rId19" w:history="1">
              <w:r>
                <w:rPr>
                  <w:color w:val="0000FF"/>
                </w:rPr>
                <w:t>приказом</w:t>
              </w:r>
            </w:hyperlink>
            <w:r>
              <w:t xml:space="preserve"> Министерства финансов РФ от 04.06.2018 г.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tc>
      </w:tr>
    </w:tbl>
    <w:p w:rsidR="009F3DA9" w:rsidRDefault="009F3DA9">
      <w:pPr>
        <w:sectPr w:rsidR="009F3DA9">
          <w:pgSz w:w="16838" w:h="11905" w:orient="landscape"/>
          <w:pgMar w:top="567" w:right="1134" w:bottom="567" w:left="1134" w:header="0" w:footer="0" w:gutter="0"/>
          <w:cols w:space="720"/>
        </w:sectPr>
      </w:pPr>
    </w:p>
    <w:p w:rsidR="009F3DA9" w:rsidRDefault="009F3DA9">
      <w:pPr>
        <w:pStyle w:val="ConsPlusNormal"/>
        <w:ind w:firstLine="540"/>
        <w:jc w:val="both"/>
      </w:pPr>
    </w:p>
    <w:p w:rsidR="009F3DA9" w:rsidRDefault="009F3DA9">
      <w:pPr>
        <w:pStyle w:val="ConsPlusNormal"/>
        <w:ind w:firstLine="540"/>
        <w:jc w:val="both"/>
      </w:pPr>
      <w:hyperlink r:id="rId20" w:history="1">
        <w:r>
          <w:rPr>
            <w:color w:val="0000FF"/>
          </w:rPr>
          <w:t>Приказом</w:t>
        </w:r>
      </w:hyperlink>
      <w:r>
        <w:t xml:space="preserve"> Минфина России от 04.06.2018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установлены условия допуска товаров из иностранных государств, за исключением стран-членов ЕАЭС.</w:t>
      </w:r>
    </w:p>
    <w:p w:rsidR="009F3DA9" w:rsidRDefault="009F3DA9">
      <w:pPr>
        <w:pStyle w:val="ConsPlusNormal"/>
        <w:spacing w:before="240"/>
        <w:ind w:firstLine="540"/>
        <w:jc w:val="both"/>
      </w:pPr>
      <w:r>
        <w:t xml:space="preserve">Согласно Приложению N 1 к Приказу Минфина N 126н Перечень содержит следующий </w:t>
      </w:r>
      <w:proofErr w:type="gramStart"/>
      <w:r>
        <w:t>вид</w:t>
      </w:r>
      <w:proofErr w:type="gramEnd"/>
      <w:r>
        <w:t xml:space="preserve"> ОКПД на </w:t>
      </w:r>
      <w:proofErr w:type="gramStart"/>
      <w:r>
        <w:t>который</w:t>
      </w:r>
      <w:proofErr w:type="gramEnd"/>
      <w:r>
        <w:t xml:space="preserve"> распространяется действие Приказа Минфина N 126н:</w:t>
      </w:r>
    </w:p>
    <w:p w:rsidR="009F3DA9" w:rsidRDefault="009F3DA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6860"/>
      </w:tblGrid>
      <w:tr w:rsidR="009F3DA9">
        <w:tc>
          <w:tcPr>
            <w:tcW w:w="1984" w:type="dxa"/>
            <w:tcBorders>
              <w:top w:val="single" w:sz="4" w:space="0" w:color="auto"/>
              <w:bottom w:val="single" w:sz="4" w:space="0" w:color="auto"/>
            </w:tcBorders>
          </w:tcPr>
          <w:p w:rsidR="009F3DA9" w:rsidRDefault="009F3DA9">
            <w:pPr>
              <w:pStyle w:val="ConsPlusNormal"/>
            </w:pPr>
            <w:r>
              <w:t>01.2</w:t>
            </w:r>
          </w:p>
        </w:tc>
        <w:tc>
          <w:tcPr>
            <w:tcW w:w="6860" w:type="dxa"/>
            <w:tcBorders>
              <w:top w:val="single" w:sz="4" w:space="0" w:color="auto"/>
              <w:bottom w:val="single" w:sz="4" w:space="0" w:color="auto"/>
            </w:tcBorders>
          </w:tcPr>
          <w:p w:rsidR="009F3DA9" w:rsidRDefault="009F3DA9">
            <w:pPr>
              <w:pStyle w:val="ConsPlusNormal"/>
            </w:pPr>
            <w:r>
              <w:t>Культуры многолетние</w:t>
            </w:r>
          </w:p>
        </w:tc>
      </w:tr>
    </w:tbl>
    <w:p w:rsidR="009F3DA9" w:rsidRDefault="009F3DA9">
      <w:pPr>
        <w:pStyle w:val="ConsPlusNormal"/>
        <w:ind w:firstLine="540"/>
        <w:jc w:val="both"/>
      </w:pPr>
    </w:p>
    <w:p w:rsidR="009F3DA9" w:rsidRDefault="009F3DA9">
      <w:pPr>
        <w:pStyle w:val="ConsPlusNormal"/>
        <w:ind w:firstLine="540"/>
        <w:jc w:val="both"/>
      </w:pPr>
      <w:r>
        <w:t>Согласно "</w:t>
      </w:r>
      <w:proofErr w:type="gramStart"/>
      <w:r>
        <w:t>ОК</w:t>
      </w:r>
      <w:proofErr w:type="gramEnd"/>
      <w:r>
        <w:t xml:space="preserve"> 034-2014 (КПЕС 2008). Общероссийский классификатор продукции по видам экономической деятельности" указанный код также включает в себя такой вид продукции как бананы, апельсины и прочее.</w:t>
      </w:r>
    </w:p>
    <w:p w:rsidR="009F3DA9" w:rsidRDefault="009F3DA9">
      <w:pPr>
        <w:pStyle w:val="ConsPlusNormal"/>
        <w:spacing w:before="240"/>
        <w:ind w:firstLine="540"/>
        <w:jc w:val="both"/>
      </w:pPr>
      <w:r>
        <w:t>В описании объекта закупки, в частности, указаны следующие требующиеся Заказчику товары:</w:t>
      </w:r>
    </w:p>
    <w:p w:rsidR="009F3DA9" w:rsidRDefault="009F3DA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6"/>
        <w:gridCol w:w="1521"/>
        <w:gridCol w:w="567"/>
        <w:gridCol w:w="2126"/>
        <w:gridCol w:w="1134"/>
        <w:gridCol w:w="1134"/>
        <w:gridCol w:w="1304"/>
      </w:tblGrid>
      <w:tr w:rsidR="009F3DA9">
        <w:tc>
          <w:tcPr>
            <w:tcW w:w="606" w:type="dxa"/>
          </w:tcPr>
          <w:p w:rsidR="009F3DA9" w:rsidRDefault="009F3DA9">
            <w:pPr>
              <w:pStyle w:val="ConsPlusNormal"/>
            </w:pPr>
            <w:r>
              <w:t>1.</w:t>
            </w:r>
          </w:p>
        </w:tc>
        <w:tc>
          <w:tcPr>
            <w:tcW w:w="1521" w:type="dxa"/>
          </w:tcPr>
          <w:p w:rsidR="009F3DA9" w:rsidRDefault="009F3DA9">
            <w:pPr>
              <w:pStyle w:val="ConsPlusNormal"/>
            </w:pPr>
            <w:r>
              <w:t>Апельсины</w:t>
            </w:r>
          </w:p>
        </w:tc>
        <w:tc>
          <w:tcPr>
            <w:tcW w:w="567" w:type="dxa"/>
          </w:tcPr>
          <w:p w:rsidR="009F3DA9" w:rsidRDefault="009F3DA9">
            <w:pPr>
              <w:pStyle w:val="ConsPlusNormal"/>
            </w:pPr>
            <w:r>
              <w:t>1.1</w:t>
            </w:r>
          </w:p>
        </w:tc>
        <w:tc>
          <w:tcPr>
            <w:tcW w:w="2126" w:type="dxa"/>
          </w:tcPr>
          <w:p w:rsidR="009F3DA9" w:rsidRDefault="009F3DA9">
            <w:pPr>
              <w:pStyle w:val="ConsPlusNormal"/>
            </w:pPr>
            <w:r>
              <w:t>Товарный сорт:</w:t>
            </w:r>
          </w:p>
        </w:tc>
        <w:tc>
          <w:tcPr>
            <w:tcW w:w="1134" w:type="dxa"/>
          </w:tcPr>
          <w:p w:rsidR="009F3DA9" w:rsidRDefault="009F3DA9">
            <w:pPr>
              <w:pStyle w:val="ConsPlusNormal"/>
            </w:pPr>
            <w:r>
              <w:t>Высший</w:t>
            </w:r>
          </w:p>
        </w:tc>
        <w:tc>
          <w:tcPr>
            <w:tcW w:w="1134" w:type="dxa"/>
          </w:tcPr>
          <w:p w:rsidR="009F3DA9" w:rsidRDefault="009F3DA9">
            <w:pPr>
              <w:pStyle w:val="ConsPlusNormal"/>
            </w:pPr>
            <w:r>
              <w:t>кг</w:t>
            </w:r>
          </w:p>
        </w:tc>
        <w:tc>
          <w:tcPr>
            <w:tcW w:w="1304" w:type="dxa"/>
          </w:tcPr>
          <w:p w:rsidR="009F3DA9" w:rsidRDefault="009F3DA9">
            <w:pPr>
              <w:pStyle w:val="ConsPlusNormal"/>
            </w:pPr>
            <w:r>
              <w:t>10,00</w:t>
            </w:r>
          </w:p>
        </w:tc>
      </w:tr>
      <w:tr w:rsidR="009F3DA9">
        <w:tc>
          <w:tcPr>
            <w:tcW w:w="606" w:type="dxa"/>
          </w:tcPr>
          <w:p w:rsidR="009F3DA9" w:rsidRDefault="009F3DA9">
            <w:pPr>
              <w:pStyle w:val="ConsPlusNormal"/>
            </w:pPr>
            <w:r>
              <w:t>2.</w:t>
            </w:r>
          </w:p>
        </w:tc>
        <w:tc>
          <w:tcPr>
            <w:tcW w:w="1521" w:type="dxa"/>
          </w:tcPr>
          <w:p w:rsidR="009F3DA9" w:rsidRDefault="009F3DA9">
            <w:pPr>
              <w:pStyle w:val="ConsPlusNormal"/>
            </w:pPr>
            <w:r>
              <w:t>Бананы</w:t>
            </w:r>
          </w:p>
        </w:tc>
        <w:tc>
          <w:tcPr>
            <w:tcW w:w="567" w:type="dxa"/>
          </w:tcPr>
          <w:p w:rsidR="009F3DA9" w:rsidRDefault="009F3DA9">
            <w:pPr>
              <w:pStyle w:val="ConsPlusNormal"/>
            </w:pPr>
            <w:r>
              <w:t>2.1</w:t>
            </w:r>
          </w:p>
        </w:tc>
        <w:tc>
          <w:tcPr>
            <w:tcW w:w="2126" w:type="dxa"/>
          </w:tcPr>
          <w:p w:rsidR="009F3DA9" w:rsidRDefault="009F3DA9">
            <w:pPr>
              <w:pStyle w:val="ConsPlusNormal"/>
            </w:pPr>
            <w:r>
              <w:t>Товарный класс:</w:t>
            </w:r>
          </w:p>
        </w:tc>
        <w:tc>
          <w:tcPr>
            <w:tcW w:w="1134" w:type="dxa"/>
          </w:tcPr>
          <w:p w:rsidR="009F3DA9" w:rsidRDefault="009F3DA9">
            <w:pPr>
              <w:pStyle w:val="ConsPlusNormal"/>
            </w:pPr>
            <w:r>
              <w:t>Первый</w:t>
            </w:r>
          </w:p>
        </w:tc>
        <w:tc>
          <w:tcPr>
            <w:tcW w:w="1134" w:type="dxa"/>
          </w:tcPr>
          <w:p w:rsidR="009F3DA9" w:rsidRDefault="009F3DA9">
            <w:pPr>
              <w:pStyle w:val="ConsPlusNormal"/>
            </w:pPr>
            <w:r>
              <w:t>кг</w:t>
            </w:r>
          </w:p>
        </w:tc>
        <w:tc>
          <w:tcPr>
            <w:tcW w:w="1304" w:type="dxa"/>
          </w:tcPr>
          <w:p w:rsidR="009F3DA9" w:rsidRDefault="009F3DA9">
            <w:pPr>
              <w:pStyle w:val="ConsPlusNormal"/>
            </w:pPr>
            <w:r>
              <w:t>15,00</w:t>
            </w:r>
          </w:p>
        </w:tc>
      </w:tr>
    </w:tbl>
    <w:p w:rsidR="009F3DA9" w:rsidRDefault="009F3DA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587"/>
        <w:gridCol w:w="510"/>
        <w:gridCol w:w="2154"/>
        <w:gridCol w:w="1134"/>
        <w:gridCol w:w="1134"/>
        <w:gridCol w:w="1276"/>
      </w:tblGrid>
      <w:tr w:rsidR="009F3DA9">
        <w:tc>
          <w:tcPr>
            <w:tcW w:w="567" w:type="dxa"/>
            <w:tcBorders>
              <w:top w:val="single" w:sz="4" w:space="0" w:color="auto"/>
              <w:bottom w:val="single" w:sz="4" w:space="0" w:color="auto"/>
            </w:tcBorders>
          </w:tcPr>
          <w:p w:rsidR="009F3DA9" w:rsidRDefault="009F3DA9">
            <w:pPr>
              <w:pStyle w:val="ConsPlusNormal"/>
            </w:pPr>
            <w:r>
              <w:t>9.</w:t>
            </w:r>
          </w:p>
        </w:tc>
        <w:tc>
          <w:tcPr>
            <w:tcW w:w="1587" w:type="dxa"/>
            <w:tcBorders>
              <w:top w:val="single" w:sz="4" w:space="0" w:color="auto"/>
              <w:bottom w:val="single" w:sz="4" w:space="0" w:color="auto"/>
            </w:tcBorders>
          </w:tcPr>
          <w:p w:rsidR="009F3DA9" w:rsidRDefault="009F3DA9">
            <w:pPr>
              <w:pStyle w:val="ConsPlusNormal"/>
            </w:pPr>
            <w:r>
              <w:t>Мандарины</w:t>
            </w:r>
          </w:p>
        </w:tc>
        <w:tc>
          <w:tcPr>
            <w:tcW w:w="510" w:type="dxa"/>
            <w:tcBorders>
              <w:top w:val="single" w:sz="4" w:space="0" w:color="auto"/>
              <w:bottom w:val="single" w:sz="4" w:space="0" w:color="auto"/>
            </w:tcBorders>
          </w:tcPr>
          <w:p w:rsidR="009F3DA9" w:rsidRDefault="009F3DA9">
            <w:pPr>
              <w:pStyle w:val="ConsPlusNormal"/>
            </w:pPr>
            <w:r>
              <w:t>9.1</w:t>
            </w:r>
          </w:p>
        </w:tc>
        <w:tc>
          <w:tcPr>
            <w:tcW w:w="2154" w:type="dxa"/>
            <w:tcBorders>
              <w:top w:val="single" w:sz="4" w:space="0" w:color="auto"/>
              <w:bottom w:val="single" w:sz="4" w:space="0" w:color="auto"/>
            </w:tcBorders>
          </w:tcPr>
          <w:p w:rsidR="009F3DA9" w:rsidRDefault="009F3DA9">
            <w:pPr>
              <w:pStyle w:val="ConsPlusNormal"/>
            </w:pPr>
            <w:r>
              <w:t>Наличие косточек:</w:t>
            </w:r>
          </w:p>
        </w:tc>
        <w:tc>
          <w:tcPr>
            <w:tcW w:w="1134" w:type="dxa"/>
            <w:tcBorders>
              <w:top w:val="single" w:sz="4" w:space="0" w:color="auto"/>
              <w:bottom w:val="single" w:sz="4" w:space="0" w:color="auto"/>
            </w:tcBorders>
          </w:tcPr>
          <w:p w:rsidR="009F3DA9" w:rsidRDefault="009F3DA9">
            <w:pPr>
              <w:pStyle w:val="ConsPlusNormal"/>
            </w:pPr>
            <w:r>
              <w:t>Неважно</w:t>
            </w:r>
          </w:p>
        </w:tc>
        <w:tc>
          <w:tcPr>
            <w:tcW w:w="1134" w:type="dxa"/>
            <w:tcBorders>
              <w:top w:val="single" w:sz="4" w:space="0" w:color="auto"/>
              <w:bottom w:val="single" w:sz="4" w:space="0" w:color="auto"/>
            </w:tcBorders>
          </w:tcPr>
          <w:p w:rsidR="009F3DA9" w:rsidRDefault="009F3DA9">
            <w:pPr>
              <w:pStyle w:val="ConsPlusNormal"/>
            </w:pPr>
            <w:r>
              <w:t>кг</w:t>
            </w:r>
          </w:p>
        </w:tc>
        <w:tc>
          <w:tcPr>
            <w:tcW w:w="1276" w:type="dxa"/>
            <w:tcBorders>
              <w:top w:val="single" w:sz="4" w:space="0" w:color="auto"/>
              <w:bottom w:val="single" w:sz="4" w:space="0" w:color="auto"/>
            </w:tcBorders>
          </w:tcPr>
          <w:p w:rsidR="009F3DA9" w:rsidRDefault="009F3DA9">
            <w:pPr>
              <w:pStyle w:val="ConsPlusNormal"/>
            </w:pPr>
            <w:r>
              <w:t>15,00</w:t>
            </w:r>
          </w:p>
        </w:tc>
      </w:tr>
    </w:tbl>
    <w:p w:rsidR="009F3DA9" w:rsidRDefault="009F3DA9">
      <w:pPr>
        <w:pStyle w:val="ConsPlusNormal"/>
        <w:ind w:firstLine="540"/>
        <w:jc w:val="both"/>
      </w:pPr>
    </w:p>
    <w:p w:rsidR="009F3DA9" w:rsidRDefault="009F3DA9">
      <w:pPr>
        <w:pStyle w:val="ConsPlusNormal"/>
        <w:ind w:firstLine="540"/>
        <w:jc w:val="both"/>
      </w:pPr>
      <w:r>
        <w:t>Согласно пункту 1.1. Приказа Минфина 126н</w:t>
      </w:r>
      <w:proofErr w:type="gramStart"/>
      <w:r>
        <w:t xml:space="preserve"> П</w:t>
      </w:r>
      <w:proofErr w:type="gramEnd"/>
      <w:r>
        <w:t>ри проведении конкурса, аукциона, запроса котировок, запроса предложений преимущества в отношении цены контракта в размере 15 процентов в отношении товаров, указанных в приложении N 1, в размере 20 процентов в отношении товаров, указанных в приложении N 2 и закупаемых при реализации национальных проектов (программ), в соответствии с подпунктами 1.2 и 1.3 пункта 1 настоящего приказа предоставляются участникам закупки, заявки (окончательные предложения) которых признаны соответствующими требованиям документации о закупке, извещения о проведении запроса котировок и содержат исключительно предложения о поставке товаров, происходящих из государств - членов Евразийского экономического союза.</w:t>
      </w:r>
    </w:p>
    <w:p w:rsidR="009F3DA9" w:rsidRDefault="009F3DA9">
      <w:pPr>
        <w:pStyle w:val="ConsPlusNormal"/>
        <w:spacing w:before="240"/>
        <w:ind w:firstLine="540"/>
        <w:jc w:val="both"/>
      </w:pPr>
      <w:r>
        <w:t>В соответствии с пунктом 1.3 Приказа Минфина 126н</w:t>
      </w:r>
      <w:proofErr w:type="gramStart"/>
      <w:r>
        <w:t xml:space="preserve"> П</w:t>
      </w:r>
      <w:proofErr w:type="gramEnd"/>
      <w:r>
        <w:t>ри проведении аукциона контракт заключается по цене:</w:t>
      </w:r>
    </w:p>
    <w:p w:rsidR="009F3DA9" w:rsidRDefault="009F3DA9">
      <w:pPr>
        <w:pStyle w:val="ConsPlusNormal"/>
        <w:spacing w:before="240"/>
        <w:ind w:firstLine="540"/>
        <w:jc w:val="both"/>
      </w:pPr>
      <w:proofErr w:type="gramStart"/>
      <w:r>
        <w:t>а) сниженной на 15 процентов в отношении товаров, указанных в приложении N 1, сниженной на 20 процентов в отношении товаров, указанных в приложении N 2 и закупаемых при реализации национальных проектов (программ), от предложенной победителем аукциона в случае, если заявка такого победителя содержит предложение о поставке товаров, указанных в Приложениях, страной происхождения хотя бы одного из которых является иностранное государство</w:t>
      </w:r>
      <w:proofErr w:type="gramEnd"/>
      <w:r>
        <w:t xml:space="preserve"> (за исключением государств - членов Евразийского экономического союза);</w:t>
      </w:r>
    </w:p>
    <w:p w:rsidR="009F3DA9" w:rsidRDefault="009F3DA9">
      <w:pPr>
        <w:pStyle w:val="ConsPlusNormal"/>
        <w:spacing w:before="240"/>
        <w:ind w:firstLine="540"/>
        <w:jc w:val="both"/>
      </w:pPr>
      <w:proofErr w:type="gramStart"/>
      <w:r>
        <w:t>б) предложенной победителем аукциона в случае, если заявка такого победителя содержит предложение о поставке товаров, указанных в Приложениях, и происходящих исключительно из государств - членов Евразийского экономического союза.</w:t>
      </w:r>
      <w:proofErr w:type="gramEnd"/>
    </w:p>
    <w:p w:rsidR="009F3DA9" w:rsidRDefault="009F3DA9">
      <w:pPr>
        <w:pStyle w:val="ConsPlusNormal"/>
        <w:spacing w:before="240"/>
        <w:ind w:firstLine="540"/>
        <w:jc w:val="both"/>
      </w:pPr>
      <w:r>
        <w:t>В силу пункта 1.6 Приказа Минфина 126н Подтверждением страны происхождения товаров, указанных в Приложениях, является указание (декларирование) участником закупки в заявке в соответствии с Федеральным законом наименования страны происхождения товара.</w:t>
      </w:r>
    </w:p>
    <w:p w:rsidR="009F3DA9" w:rsidRDefault="009F3DA9">
      <w:pPr>
        <w:pStyle w:val="ConsPlusNormal"/>
        <w:spacing w:before="240"/>
        <w:ind w:firstLine="540"/>
        <w:jc w:val="both"/>
      </w:pPr>
      <w:r>
        <w:lastRenderedPageBreak/>
        <w:t>В пункте 2 Приказа Минфина 126н установлено:</w:t>
      </w:r>
    </w:p>
    <w:p w:rsidR="009F3DA9" w:rsidRDefault="009F3DA9">
      <w:pPr>
        <w:pStyle w:val="ConsPlusNormal"/>
        <w:spacing w:before="240"/>
        <w:ind w:firstLine="540"/>
        <w:jc w:val="both"/>
      </w:pPr>
      <w:r>
        <w:t>Положения подпунктов 1.1 - 1.3 пункта 1 настоящего приказа не применяются при проведении конкурса, аукциона, запроса котировок, запроса предложений в случаях, если:</w:t>
      </w:r>
    </w:p>
    <w:p w:rsidR="009F3DA9" w:rsidRDefault="009F3DA9">
      <w:pPr>
        <w:pStyle w:val="ConsPlusNormal"/>
        <w:spacing w:before="240"/>
        <w:ind w:firstLine="540"/>
        <w:jc w:val="both"/>
      </w:pPr>
      <w:r>
        <w:t>а) конкурс, аукцион, запрос котировок, запрос предложений признается не состоявшимся в случаях, предусмотренных Федеральным законом;</w:t>
      </w:r>
    </w:p>
    <w:p w:rsidR="009F3DA9" w:rsidRDefault="009F3DA9">
      <w:pPr>
        <w:pStyle w:val="ConsPlusNormal"/>
        <w:spacing w:before="240"/>
        <w:ind w:firstLine="540"/>
        <w:jc w:val="both"/>
      </w:pPr>
      <w:r>
        <w:t>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Приложениях и происходящих исключительно из государств - членов Евразийского экономического союза;</w:t>
      </w:r>
    </w:p>
    <w:p w:rsidR="009F3DA9" w:rsidRDefault="009F3DA9">
      <w:pPr>
        <w:pStyle w:val="ConsPlusNormal"/>
        <w:spacing w:before="240"/>
        <w:ind w:firstLine="540"/>
        <w:jc w:val="both"/>
      </w:pPr>
      <w:r>
        <w:t>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Приложениях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
    <w:p w:rsidR="009F3DA9" w:rsidRDefault="009F3DA9">
      <w:pPr>
        <w:pStyle w:val="ConsPlusNormal"/>
        <w:spacing w:before="240"/>
        <w:ind w:firstLine="540"/>
        <w:jc w:val="both"/>
      </w:pPr>
      <w:r>
        <w:t xml:space="preserve">В соответствии с </w:t>
      </w:r>
      <w:hyperlink r:id="rId21" w:history="1">
        <w:r>
          <w:rPr>
            <w:color w:val="0000FF"/>
          </w:rPr>
          <w:t>пунктом 1 части 4 статьи 67</w:t>
        </w:r>
      </w:hyperlink>
      <w:r>
        <w:t xml:space="preserve"> Закона о контрактной системе Участник электронного аукциона не допускается к участию в нем в случае:</w:t>
      </w:r>
    </w:p>
    <w:p w:rsidR="009F3DA9" w:rsidRDefault="009F3DA9">
      <w:pPr>
        <w:pStyle w:val="ConsPlusNormal"/>
        <w:spacing w:before="240"/>
        <w:ind w:firstLine="540"/>
        <w:jc w:val="both"/>
      </w:pPr>
      <w:r>
        <w:t>1) непредоставления информации, предусмотренной частью 3 статьи 66 настоящего Федерального закона, или предоставления недостоверной информации.</w:t>
      </w:r>
    </w:p>
    <w:p w:rsidR="009F3DA9" w:rsidRDefault="009F3DA9">
      <w:pPr>
        <w:pStyle w:val="ConsPlusNormal"/>
        <w:spacing w:before="240"/>
        <w:ind w:firstLine="540"/>
        <w:jc w:val="both"/>
      </w:pPr>
      <w:r>
        <w:t>Согласно протоколу рассмотрения заявок на участие в электронном аукционе от 16.10.2020 N 0387200009020000078-1 все участники закупки были признаны соответствующими и допущены до участия в аукционе.</w:t>
      </w:r>
    </w:p>
    <w:p w:rsidR="009F3DA9" w:rsidRDefault="009F3DA9">
      <w:pPr>
        <w:pStyle w:val="ConsPlusNormal"/>
        <w:spacing w:before="240"/>
        <w:ind w:firstLine="540"/>
        <w:jc w:val="both"/>
      </w:pPr>
      <w:r>
        <w:t>Изучив заявки участников аукциона установлено, что заявка N 255 содержит перечень предлагаемых к поставке товаров, в котором указано, что страна происхождения товаров апельсины, бананы, мандарины - Российская Федерация.</w:t>
      </w:r>
    </w:p>
    <w:p w:rsidR="009F3DA9" w:rsidRDefault="009F3DA9">
      <w:pPr>
        <w:pStyle w:val="ConsPlusNormal"/>
        <w:spacing w:before="240"/>
        <w:ind w:firstLine="540"/>
        <w:jc w:val="both"/>
      </w:pPr>
      <w:r>
        <w:t>Вместе с тем, с учетом имеющихся у Управления ФАС по ХМАО - Югре материалов не представляется возможным прийти к выводу о том, что такие товары, как бананы, апельсины, мандарины производятся на территории Российской Федерации.</w:t>
      </w:r>
    </w:p>
    <w:p w:rsidR="009F3DA9" w:rsidRDefault="009F3DA9">
      <w:pPr>
        <w:pStyle w:val="ConsPlusNormal"/>
        <w:spacing w:before="240"/>
        <w:ind w:firstLine="540"/>
        <w:jc w:val="both"/>
      </w:pPr>
      <w:r>
        <w:t>Таким образом, заявка участника N 255 подлежала отклонению ввиду представления недостоверной информации.</w:t>
      </w:r>
    </w:p>
    <w:p w:rsidR="009F3DA9" w:rsidRDefault="009F3DA9">
      <w:pPr>
        <w:pStyle w:val="ConsPlusNormal"/>
        <w:spacing w:before="240"/>
        <w:ind w:firstLine="540"/>
        <w:jc w:val="both"/>
      </w:pPr>
      <w:proofErr w:type="gramStart"/>
      <w:r>
        <w:t xml:space="preserve">Указанное правонарушение аукционной комиссии нарушает положение </w:t>
      </w:r>
      <w:hyperlink r:id="rId22" w:history="1">
        <w:r>
          <w:rPr>
            <w:color w:val="0000FF"/>
          </w:rPr>
          <w:t>пункта 1 части 4 статьи 67</w:t>
        </w:r>
      </w:hyperlink>
      <w:r>
        <w:t xml:space="preserve"> Закона о контрактной системе и ставит Победителя закупки, правомерно указавшего страну происхождения товаров апельсины, бананы, мандарин как иностранное государство (Южная Африка и Эквадор) в невыгодное положение ввиду применения к последнему положений Приказа Минфина N 126н о 15 процентном понижающем коэффициенте.</w:t>
      </w:r>
      <w:proofErr w:type="gramEnd"/>
    </w:p>
    <w:p w:rsidR="009F3DA9" w:rsidRDefault="009F3DA9">
      <w:pPr>
        <w:pStyle w:val="ConsPlusNormal"/>
        <w:spacing w:before="240"/>
        <w:ind w:firstLine="540"/>
        <w:jc w:val="both"/>
      </w:pPr>
      <w:proofErr w:type="gramStart"/>
      <w:r>
        <w:t xml:space="preserve">В соответствии с </w:t>
      </w:r>
      <w:hyperlink r:id="rId23" w:history="1">
        <w:r>
          <w:rPr>
            <w:color w:val="0000FF"/>
          </w:rPr>
          <w:t>пунктом 2 части 22 статьи 99</w:t>
        </w:r>
      </w:hyperlink>
      <w:r>
        <w:t xml:space="preserve"> Закона о контрактной системе, при выявлении в результате проведения контрольным органом в сфере закупок плановых и внеплановых проверок, а также в результате рассмотрения жалобы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или комиссии по осуществлению закупок нарушений законодательства Российской Федерации и иных нормативных правовых актов</w:t>
      </w:r>
      <w:proofErr w:type="gramEnd"/>
      <w:r>
        <w:t xml:space="preserve"> о контрактной системе в сфере закупок контрольный орган в сфере закупок вправе выдавать обязательные для исполнения предписания об устранении таких </w:t>
      </w:r>
      <w:r>
        <w:lastRenderedPageBreak/>
        <w:t>нарушений в соответствии с законодательством Российской Федерации, в том числе об аннулировании определения поставщиков (подрядчиков, исполнителей).</w:t>
      </w:r>
    </w:p>
    <w:p w:rsidR="009F3DA9" w:rsidRDefault="009F3DA9">
      <w:pPr>
        <w:pStyle w:val="ConsPlusNormal"/>
        <w:spacing w:before="240"/>
        <w:ind w:firstLine="540"/>
        <w:jc w:val="both"/>
      </w:pPr>
      <w:r>
        <w:t>Таким образом, Комиссия Управления пришла к выводу, выдать обязательное для исполнения предписание об устранении выявленных нарушений.</w:t>
      </w:r>
    </w:p>
    <w:p w:rsidR="009F3DA9" w:rsidRDefault="009F3DA9">
      <w:pPr>
        <w:pStyle w:val="ConsPlusNormal"/>
        <w:spacing w:before="240"/>
        <w:ind w:firstLine="540"/>
        <w:jc w:val="both"/>
      </w:pPr>
      <w:proofErr w:type="gramStart"/>
      <w:r>
        <w:t>Жалоба ИП Г. (ИНН &lt;...</w:t>
      </w:r>
      <w:proofErr w:type="gramEnd"/>
      <w:r>
        <w:t xml:space="preserve">&gt; </w:t>
      </w:r>
      <w:proofErr w:type="gramStart"/>
      <w:r>
        <w:t xml:space="preserve">ОГРНИП 308552220700014) от 26.10.2020 N 2095-ж рассмотрена Комиссией Управления в соответствии с требованиями </w:t>
      </w:r>
      <w:hyperlink r:id="rId24" w:history="1">
        <w:r>
          <w:rPr>
            <w:color w:val="0000FF"/>
          </w:rPr>
          <w:t>Закона</w:t>
        </w:r>
      </w:hyperlink>
      <w:r>
        <w:t xml:space="preserve"> о контрактной системе и Административного </w:t>
      </w:r>
      <w:hyperlink r:id="rId25" w:history="1">
        <w:r>
          <w:rPr>
            <w:color w:val="0000FF"/>
          </w:rPr>
          <w:t>регламента</w:t>
        </w:r>
      </w:hyperlink>
      <w:r>
        <w:t xml:space="preserve"> ФАС России от 19 ноября 2014 N 727/14 по исполнению государственной функции по рассмотрению жалоб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w:t>
      </w:r>
      <w:proofErr w:type="gramEnd"/>
      <w:r>
        <w:t xml:space="preserve"> площадки при определении поставщиков (подрядчиков, исполнителей) для обеспечения государственных и муниципальных нужд.</w:t>
      </w:r>
    </w:p>
    <w:p w:rsidR="009F3DA9" w:rsidRDefault="009F3DA9">
      <w:pPr>
        <w:pStyle w:val="ConsPlusNormal"/>
        <w:spacing w:before="240"/>
        <w:ind w:firstLine="540"/>
        <w:jc w:val="both"/>
      </w:pPr>
      <w:r>
        <w:t xml:space="preserve">Рассмотрев материалы дела, изучив представленные документы представителей сторон, руководствуясь положениями </w:t>
      </w:r>
      <w:hyperlink r:id="rId26" w:history="1">
        <w:r>
          <w:rPr>
            <w:color w:val="0000FF"/>
          </w:rPr>
          <w:t>статьи 106</w:t>
        </w:r>
      </w:hyperlink>
      <w:r>
        <w:t xml:space="preserve"> Закона о контрактной системе, Комиссия Управления</w:t>
      </w:r>
    </w:p>
    <w:p w:rsidR="009F3DA9" w:rsidRDefault="009F3DA9">
      <w:pPr>
        <w:pStyle w:val="ConsPlusNormal"/>
        <w:jc w:val="center"/>
      </w:pPr>
    </w:p>
    <w:p w:rsidR="009F3DA9" w:rsidRDefault="009F3DA9">
      <w:pPr>
        <w:pStyle w:val="ConsPlusNormal"/>
        <w:jc w:val="center"/>
      </w:pPr>
      <w:r>
        <w:t>решила:</w:t>
      </w:r>
    </w:p>
    <w:p w:rsidR="009F3DA9" w:rsidRDefault="009F3DA9">
      <w:pPr>
        <w:pStyle w:val="ConsPlusNormal"/>
        <w:jc w:val="center"/>
      </w:pPr>
    </w:p>
    <w:p w:rsidR="009F3DA9" w:rsidRDefault="009F3DA9">
      <w:pPr>
        <w:pStyle w:val="ConsPlusNormal"/>
        <w:ind w:firstLine="540"/>
        <w:jc w:val="both"/>
      </w:pPr>
      <w:r>
        <w:t xml:space="preserve">1. </w:t>
      </w:r>
      <w:proofErr w:type="gramStart"/>
      <w:r>
        <w:t>Признать жалобу ИП Г. (ИНН &lt;...</w:t>
      </w:r>
      <w:proofErr w:type="gramEnd"/>
      <w:r>
        <w:t xml:space="preserve">&gt; </w:t>
      </w:r>
      <w:proofErr w:type="gramStart"/>
      <w:r>
        <w:t>ОГРНИП 308552220700014) от 26.10.2020 N 2095-ж на действия Заказчика - Бюджетное учреждение Ханты-Мансийского автономного округа - Югры "Нижневартовский районный комплексный центр социального обслуживания населения", при проведении электронного аукциона предметом, которого является поставка продуктов питания (извещение N 0387200009020000078) обоснованной.</w:t>
      </w:r>
      <w:proofErr w:type="gramEnd"/>
    </w:p>
    <w:p w:rsidR="009F3DA9" w:rsidRDefault="009F3DA9">
      <w:pPr>
        <w:pStyle w:val="ConsPlusNormal"/>
        <w:spacing w:before="240"/>
        <w:ind w:firstLine="540"/>
        <w:jc w:val="both"/>
      </w:pPr>
      <w:r>
        <w:t xml:space="preserve">2. Признать в действиях Заказчика - Бюджетное учреждение Ханты-Мансийского автономного округа - Югры "Нижневартовский районный комплексный центр социального обслуживания населения" нарушение </w:t>
      </w:r>
      <w:hyperlink r:id="rId27" w:history="1">
        <w:r>
          <w:rPr>
            <w:color w:val="0000FF"/>
          </w:rPr>
          <w:t>пункта 1 части 4 статьи 67</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9F3DA9" w:rsidRDefault="009F3DA9">
      <w:pPr>
        <w:pStyle w:val="ConsPlusNormal"/>
        <w:spacing w:before="240"/>
        <w:ind w:firstLine="540"/>
        <w:jc w:val="both"/>
      </w:pPr>
      <w:r>
        <w:t xml:space="preserve">3. Выдать Заказчику - Бюджетное учреждение Ханты-Мансийского автономного округа - Югры "Нижневартовский районный комплексный центр социального обслуживания населения" обязательное для исполнения </w:t>
      </w:r>
      <w:hyperlink r:id="rId28" w:history="1">
        <w:r>
          <w:rPr>
            <w:color w:val="0000FF"/>
          </w:rPr>
          <w:t>предписание</w:t>
        </w:r>
      </w:hyperlink>
      <w:r>
        <w:t>.</w:t>
      </w:r>
    </w:p>
    <w:p w:rsidR="009F3DA9" w:rsidRDefault="009F3DA9">
      <w:pPr>
        <w:pStyle w:val="ConsPlusNormal"/>
        <w:spacing w:before="240"/>
        <w:ind w:firstLine="540"/>
        <w:jc w:val="both"/>
      </w:pPr>
      <w:r>
        <w:t xml:space="preserve">4. Передать уполномоченному должностному лицу Ханты-Мансийского УФАС России материалы дела для рассмотрения вопроса о привлечении должностных лиц, допустивших нарушение требований </w:t>
      </w:r>
      <w:hyperlink r:id="rId29" w:history="1">
        <w:r>
          <w:rPr>
            <w:color w:val="0000FF"/>
          </w:rPr>
          <w:t>Закона</w:t>
        </w:r>
      </w:hyperlink>
      <w:r>
        <w:t xml:space="preserve"> о контрактной системе, к административной ответственности.</w:t>
      </w:r>
    </w:p>
    <w:p w:rsidR="009F3DA9" w:rsidRDefault="009F3DA9">
      <w:pPr>
        <w:pStyle w:val="ConsPlusNormal"/>
        <w:spacing w:before="240"/>
        <w:ind w:firstLine="540"/>
        <w:jc w:val="both"/>
      </w:pPr>
      <w:r>
        <w:t>5. Направить данное решение сторонам и опубликовать на официальном сайте единой информационной системы в сфере закупок (www.zakupki.gov.ru).</w:t>
      </w:r>
    </w:p>
    <w:p w:rsidR="009F3DA9" w:rsidRDefault="009F3DA9">
      <w:pPr>
        <w:pStyle w:val="ConsPlusNormal"/>
        <w:spacing w:before="240"/>
        <w:ind w:firstLine="540"/>
        <w:jc w:val="both"/>
      </w:pPr>
      <w:r>
        <w:t xml:space="preserve">Решение, принятое по результатам рассмотрения жалобы по существу, может быть обжаловано в судебном порядке в течение трех месяцев </w:t>
      </w:r>
      <w:proofErr w:type="gramStart"/>
      <w:r>
        <w:t>с даты принятия</w:t>
      </w:r>
      <w:proofErr w:type="gramEnd"/>
    </w:p>
    <w:p w:rsidR="009F3DA9" w:rsidRDefault="009F3DA9">
      <w:pPr>
        <w:pStyle w:val="ConsPlusNormal"/>
        <w:jc w:val="right"/>
      </w:pPr>
    </w:p>
    <w:p w:rsidR="009F3DA9" w:rsidRDefault="009F3DA9">
      <w:pPr>
        <w:pStyle w:val="ConsPlusNormal"/>
        <w:jc w:val="right"/>
      </w:pPr>
      <w:r>
        <w:t>Председатель Комиссии</w:t>
      </w:r>
    </w:p>
    <w:p w:rsidR="009F3DA9" w:rsidRDefault="009F3DA9">
      <w:pPr>
        <w:pStyle w:val="ConsPlusNormal"/>
        <w:jc w:val="right"/>
      </w:pPr>
      <w:r>
        <w:t>М.А.</w:t>
      </w:r>
    </w:p>
    <w:p w:rsidR="009F3DA9" w:rsidRDefault="009F3DA9">
      <w:pPr>
        <w:pStyle w:val="ConsPlusNormal"/>
        <w:jc w:val="right"/>
      </w:pPr>
    </w:p>
    <w:p w:rsidR="009F3DA9" w:rsidRDefault="009F3DA9">
      <w:pPr>
        <w:pStyle w:val="ConsPlusNormal"/>
        <w:jc w:val="right"/>
      </w:pPr>
      <w:r>
        <w:t>Члены Комиссии</w:t>
      </w:r>
    </w:p>
    <w:p w:rsidR="009F3DA9" w:rsidRDefault="009F3DA9">
      <w:pPr>
        <w:pStyle w:val="ConsPlusNormal"/>
        <w:jc w:val="right"/>
      </w:pPr>
      <w:r>
        <w:t>В.</w:t>
      </w:r>
    </w:p>
    <w:p w:rsidR="009F3DA9" w:rsidRDefault="009F3DA9">
      <w:pPr>
        <w:pStyle w:val="ConsPlusNormal"/>
        <w:jc w:val="right"/>
      </w:pPr>
      <w:r>
        <w:t>Б.</w:t>
      </w:r>
    </w:p>
    <w:p w:rsidR="009F3DA9" w:rsidRDefault="009F3DA9">
      <w:pPr>
        <w:pStyle w:val="ConsPlusNormal"/>
        <w:ind w:firstLine="540"/>
        <w:jc w:val="both"/>
      </w:pPr>
    </w:p>
    <w:p w:rsidR="009F3DA9" w:rsidRDefault="009F3DA9">
      <w:pPr>
        <w:pStyle w:val="ConsPlusNormal"/>
        <w:ind w:firstLine="540"/>
        <w:jc w:val="both"/>
      </w:pPr>
    </w:p>
    <w:p w:rsidR="009F3DA9" w:rsidRDefault="009F3DA9">
      <w:pPr>
        <w:pStyle w:val="ConsPlusNormal"/>
        <w:pBdr>
          <w:top w:val="single" w:sz="6" w:space="0" w:color="auto"/>
        </w:pBdr>
        <w:spacing w:before="100" w:after="100"/>
        <w:jc w:val="both"/>
        <w:rPr>
          <w:sz w:val="2"/>
          <w:szCs w:val="2"/>
        </w:rPr>
      </w:pPr>
    </w:p>
    <w:p w:rsidR="001552FE" w:rsidRDefault="009F3DA9">
      <w:bookmarkStart w:id="0" w:name="_GoBack"/>
      <w:bookmarkEnd w:id="0"/>
    </w:p>
    <w:sectPr w:rsidR="001552FE" w:rsidSect="006E0C5B">
      <w:pgSz w:w="11905" w:h="16838"/>
      <w:pgMar w:top="1134" w:right="567" w:bottom="1134" w:left="567"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DA9"/>
    <w:rsid w:val="00321B45"/>
    <w:rsid w:val="0048677B"/>
    <w:rsid w:val="00536E16"/>
    <w:rsid w:val="005C5D8E"/>
    <w:rsid w:val="00852EFF"/>
    <w:rsid w:val="00957F33"/>
    <w:rsid w:val="00963F56"/>
    <w:rsid w:val="009B3926"/>
    <w:rsid w:val="009F3DA9"/>
    <w:rsid w:val="00CA5555"/>
    <w:rsid w:val="00CF6166"/>
    <w:rsid w:val="00D255F1"/>
    <w:rsid w:val="00D744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77B"/>
    <w:pPr>
      <w:spacing w:line="264" w:lineRule="auto"/>
      <w:ind w:firstLine="567"/>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3DA9"/>
    <w:pPr>
      <w:widowControl w:val="0"/>
      <w:autoSpaceDE w:val="0"/>
      <w:autoSpaceDN w:val="0"/>
      <w:spacing w:after="0" w:line="240" w:lineRule="auto"/>
    </w:pPr>
    <w:rPr>
      <w:rFonts w:eastAsia="Times New Roman" w:cs="Times New Roman"/>
      <w:szCs w:val="20"/>
      <w:lang w:eastAsia="ru-RU"/>
    </w:rPr>
  </w:style>
  <w:style w:type="paragraph" w:customStyle="1" w:styleId="ConsPlusTitle">
    <w:name w:val="ConsPlusTitle"/>
    <w:rsid w:val="009F3DA9"/>
    <w:pPr>
      <w:widowControl w:val="0"/>
      <w:autoSpaceDE w:val="0"/>
      <w:autoSpaceDN w:val="0"/>
      <w:spacing w:after="0" w:line="240" w:lineRule="auto"/>
    </w:pPr>
    <w:rPr>
      <w:rFonts w:eastAsia="Times New Roman" w:cs="Times New Roman"/>
      <w:b/>
      <w:szCs w:val="20"/>
      <w:lang w:eastAsia="ru-RU"/>
    </w:rPr>
  </w:style>
  <w:style w:type="paragraph" w:customStyle="1" w:styleId="ConsPlusTitlePage">
    <w:name w:val="ConsPlusTitlePage"/>
    <w:rsid w:val="009F3DA9"/>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77B"/>
    <w:pPr>
      <w:spacing w:line="264" w:lineRule="auto"/>
      <w:ind w:firstLine="567"/>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3DA9"/>
    <w:pPr>
      <w:widowControl w:val="0"/>
      <w:autoSpaceDE w:val="0"/>
      <w:autoSpaceDN w:val="0"/>
      <w:spacing w:after="0" w:line="240" w:lineRule="auto"/>
    </w:pPr>
    <w:rPr>
      <w:rFonts w:eastAsia="Times New Roman" w:cs="Times New Roman"/>
      <w:szCs w:val="20"/>
      <w:lang w:eastAsia="ru-RU"/>
    </w:rPr>
  </w:style>
  <w:style w:type="paragraph" w:customStyle="1" w:styleId="ConsPlusTitle">
    <w:name w:val="ConsPlusTitle"/>
    <w:rsid w:val="009F3DA9"/>
    <w:pPr>
      <w:widowControl w:val="0"/>
      <w:autoSpaceDE w:val="0"/>
      <w:autoSpaceDN w:val="0"/>
      <w:spacing w:after="0" w:line="240" w:lineRule="auto"/>
    </w:pPr>
    <w:rPr>
      <w:rFonts w:eastAsia="Times New Roman" w:cs="Times New Roman"/>
      <w:b/>
      <w:szCs w:val="20"/>
      <w:lang w:eastAsia="ru-RU"/>
    </w:rPr>
  </w:style>
  <w:style w:type="paragraph" w:customStyle="1" w:styleId="ConsPlusTitlePage">
    <w:name w:val="ConsPlusTitlePage"/>
    <w:rsid w:val="009F3DA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DA885B5AA80B78CFB177B95C9DFDA7E30F1B209B4B45B614CDF1BD8B6540CE12033978213C761C83F47C45044A4C44097AF6E57E3E4E87DfDb5D" TargetMode="External"/><Relationship Id="rId13" Type="http://schemas.openxmlformats.org/officeDocument/2006/relationships/hyperlink" Target="consultantplus://offline/ref=EDA885B5AA80B78CFB177B95C9DFDA7E30F1B209B4B45B614CDF1BD8B6540CE13233CF8E12CE7EC93952920102fFb0D" TargetMode="External"/><Relationship Id="rId18" Type="http://schemas.openxmlformats.org/officeDocument/2006/relationships/hyperlink" Target="consultantplus://offline/ref=EDA885B5AA80B78CFB177B95C9DFDA7E30F1B209B4B45B614CDF1BD8B6540CE12033978213C761C83E47C45044A4C44097AF6E57E3E4E87DfDb5D" TargetMode="External"/><Relationship Id="rId26" Type="http://schemas.openxmlformats.org/officeDocument/2006/relationships/hyperlink" Target="consultantplus://offline/ref=EDA885B5AA80B78CFB177B95C9DFDA7E30F1B209B4B45B614CDF1BD8B6540CE12033978213C665CD3047C45044A4C44097AF6E57E3E4E87DfDb5D" TargetMode="External"/><Relationship Id="rId3" Type="http://schemas.openxmlformats.org/officeDocument/2006/relationships/settings" Target="settings.xml"/><Relationship Id="rId21" Type="http://schemas.openxmlformats.org/officeDocument/2006/relationships/hyperlink" Target="consultantplus://offline/ref=EDA885B5AA80B78CFB177B95C9DFDA7E30F1B209B4B45B614CDF1BD8B6540CE12033978213C768C13C47C45044A4C44097AF6E57E3E4E87DfDb5D" TargetMode="External"/><Relationship Id="rId7" Type="http://schemas.openxmlformats.org/officeDocument/2006/relationships/hyperlink" Target="consultantplus://offline/ref=EDA885B5AA80B78CFB177B95C9DFDA7E30F2B209B8BC5B614CDF1BD8B6540CE13233CF8E12CE7EC93952920102fFb0D" TargetMode="External"/><Relationship Id="rId12" Type="http://schemas.openxmlformats.org/officeDocument/2006/relationships/hyperlink" Target="consultantplus://offline/ref=EDA885B5AA80B78CFB177B95C9DFDA7E30F1B209B4B45B614CDF1BD8B6540CE12033978717C06B9D6908C50C01F8D7419FAF6C56FFfEb7D" TargetMode="External"/><Relationship Id="rId17" Type="http://schemas.openxmlformats.org/officeDocument/2006/relationships/hyperlink" Target="consultantplus://offline/ref=EDA885B5AA80B78CFB177B95C9DFDA7E30F1B209B4B45B614CDF1BD8B6540CE12033978213C768CB3847C45044A4C44097AF6E57E3E4E87DfDb5D" TargetMode="External"/><Relationship Id="rId25" Type="http://schemas.openxmlformats.org/officeDocument/2006/relationships/hyperlink" Target="consultantplus://offline/ref=EDA885B5AA80B78CFB177B95C9DFDA7E32FDB408B4B55B614CDF1BD8B6540CE13233CF8E12CE7EC93952920102fFb0D" TargetMode="External"/><Relationship Id="rId2" Type="http://schemas.microsoft.com/office/2007/relationships/stylesWithEffects" Target="stylesWithEffects.xml"/><Relationship Id="rId16" Type="http://schemas.openxmlformats.org/officeDocument/2006/relationships/hyperlink" Target="consultantplus://offline/ref=EDA885B5AA80B78CFB177B95C9DFDA7E30F2B209B8BC5B614CDF1BD8B6540CE13233CF8E12CE7EC93952920102fFb0D" TargetMode="External"/><Relationship Id="rId20" Type="http://schemas.openxmlformats.org/officeDocument/2006/relationships/hyperlink" Target="consultantplus://offline/ref=EDA885B5AA80B78CFB177B95C9DFDA7E30F2B209B8BC5B614CDF1BD8B6540CE13233CF8E12CE7EC93952920102fFb0D" TargetMode="External"/><Relationship Id="rId29" Type="http://schemas.openxmlformats.org/officeDocument/2006/relationships/hyperlink" Target="consultantplus://offline/ref=EDA885B5AA80B78CFB177B95C9DFDA7E30F1B209B4B45B614CDF1BD8B6540CE13233CF8E12CE7EC93952920102fFb0D" TargetMode="External"/><Relationship Id="rId1" Type="http://schemas.openxmlformats.org/officeDocument/2006/relationships/styles" Target="styles.xml"/><Relationship Id="rId6" Type="http://schemas.openxmlformats.org/officeDocument/2006/relationships/hyperlink" Target="consultantplus://offline/ref=EDA885B5AA80B78CFB177B95C9DFDA7E30F1B209B4B45B614CDF1BD8B6540CE12033978212C569C26C1DD4540DF0C05F9EB07054FDE4fEb9D" TargetMode="External"/><Relationship Id="rId11" Type="http://schemas.openxmlformats.org/officeDocument/2006/relationships/hyperlink" Target="consultantplus://offline/ref=EDA885B5AA80B78CFB177B95C9DFDA7E30F1B209B4B45B614CDF1BD8B6540CE1203397821BC360C26C1DD4540DF0C05F9EB07054FDE4fEb9D" TargetMode="External"/><Relationship Id="rId24" Type="http://schemas.openxmlformats.org/officeDocument/2006/relationships/hyperlink" Target="consultantplus://offline/ref=EDA885B5AA80B78CFB177B95C9DFDA7E30F1B209B4B45B614CDF1BD8B6540CE13233CF8E12CE7EC93952920102fFb0D"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EDA885B5AA80B78CFB177B95C9DFDA7E30F1B209B4B45B614CDF1BD8B6540CE12033978213C761C83E47C45044A4C44097AF6E57E3E4E87DfDb5D" TargetMode="External"/><Relationship Id="rId23" Type="http://schemas.openxmlformats.org/officeDocument/2006/relationships/hyperlink" Target="consultantplus://offline/ref=EDA885B5AA80B78CFB177B95C9DFDA7E30F1B209B4B45B614CDF1BD8B6540CE12033978213C664CD3A47C45044A4C44097AF6E57E3E4E87DfDb5D" TargetMode="External"/><Relationship Id="rId28" Type="http://schemas.openxmlformats.org/officeDocument/2006/relationships/hyperlink" Target="consultantplus://offline/ref=EDA885B5AA80B78CFB176795CDDFDA7E35F3B60CBBB75B614CDF1BD8B6540CE13233CF8E12CE7EC93952920102fFb0D" TargetMode="External"/><Relationship Id="rId10" Type="http://schemas.openxmlformats.org/officeDocument/2006/relationships/hyperlink" Target="consultantplus://offline/ref=EDA885B5AA80B78CFB177B95C9DFDA7E30F1B209B4B45B614CDF1BD8B6540CE12033978213C06B9D6908C50C01F8D7419FAF6C56FFfEb7D" TargetMode="External"/><Relationship Id="rId19" Type="http://schemas.openxmlformats.org/officeDocument/2006/relationships/hyperlink" Target="consultantplus://offline/ref=EDA885B5AA80B78CFB177B95C9DFDA7E30F2B209B8BC5B614CDF1BD8B6540CE13233CF8E12CE7EC93952920102fFb0D"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EDA885B5AA80B78CFB177B95C9DFDA7E30F1B209B4B45B614CDF1BD8B6540CE1203397821BC360C26C1DD4540DF0C05F9EB07054FDE4fEb9D" TargetMode="External"/><Relationship Id="rId14" Type="http://schemas.openxmlformats.org/officeDocument/2006/relationships/hyperlink" Target="consultantplus://offline/ref=EDA885B5AA80B78CFB177B95C9DFDA7E30F1B209B4B45B614CDF1BD8B6540CE13233CF8E12CE7EC93952920102fFb0D" TargetMode="External"/><Relationship Id="rId22" Type="http://schemas.openxmlformats.org/officeDocument/2006/relationships/hyperlink" Target="consultantplus://offline/ref=EDA885B5AA80B78CFB177B95C9DFDA7E30F1B209B4B45B614CDF1BD8B6540CE12033978213C768C13C47C45044A4C44097AF6E57E3E4E87DfDb5D" TargetMode="External"/><Relationship Id="rId27" Type="http://schemas.openxmlformats.org/officeDocument/2006/relationships/hyperlink" Target="consultantplus://offline/ref=EDA885B5AA80B78CFB177B95C9DFDA7E30F1B209B4B45B614CDF1BD8B6540CE12033978213C768C13C47C45044A4C44097AF6E57E3E4E87DfDb5D"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2946</Words>
  <Characters>16793</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Epselan</dc:creator>
  <cp:lastModifiedBy>Epselan</cp:lastModifiedBy>
  <cp:revision>1</cp:revision>
  <dcterms:created xsi:type="dcterms:W3CDTF">2021-01-19T03:27:00Z</dcterms:created>
  <dcterms:modified xsi:type="dcterms:W3CDTF">2021-01-19T03:29:00Z</dcterms:modified>
</cp:coreProperties>
</file>