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C4" w:rsidRDefault="002477C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77C4" w:rsidRDefault="002477C4">
      <w:pPr>
        <w:pStyle w:val="ConsPlusNormal"/>
        <w:ind w:firstLine="540"/>
        <w:jc w:val="both"/>
        <w:outlineLvl w:val="0"/>
      </w:pPr>
    </w:p>
    <w:p w:rsidR="002477C4" w:rsidRDefault="002477C4">
      <w:pPr>
        <w:pStyle w:val="ConsPlusTitle"/>
        <w:jc w:val="center"/>
      </w:pPr>
      <w:r>
        <w:t>АРБИТРАЖНЫЙ СУД ПОВОЛЖСКОГО ОКРУГА</w:t>
      </w:r>
    </w:p>
    <w:p w:rsidR="002477C4" w:rsidRDefault="002477C4">
      <w:pPr>
        <w:pStyle w:val="ConsPlusTitle"/>
        <w:jc w:val="center"/>
      </w:pPr>
    </w:p>
    <w:p w:rsidR="002477C4" w:rsidRDefault="002477C4">
      <w:pPr>
        <w:pStyle w:val="ConsPlusTitle"/>
        <w:jc w:val="center"/>
      </w:pPr>
      <w:r>
        <w:t>ПОСТАНОВЛЕНИЕ</w:t>
      </w:r>
    </w:p>
    <w:p w:rsidR="002477C4" w:rsidRDefault="002477C4">
      <w:pPr>
        <w:pStyle w:val="ConsPlusTitle"/>
        <w:jc w:val="center"/>
      </w:pPr>
      <w:r>
        <w:t>от 19 ноября 2019 г. N Ф06-53226/2019</w:t>
      </w:r>
    </w:p>
    <w:p w:rsidR="002477C4" w:rsidRDefault="002477C4">
      <w:pPr>
        <w:pStyle w:val="ConsPlusNormal"/>
        <w:ind w:firstLine="540"/>
        <w:jc w:val="both"/>
      </w:pPr>
    </w:p>
    <w:p w:rsidR="002477C4" w:rsidRDefault="002477C4">
      <w:pPr>
        <w:pStyle w:val="ConsPlusNormal"/>
        <w:jc w:val="right"/>
      </w:pPr>
      <w:r>
        <w:t>Дело N А65-2780/2019</w:t>
      </w:r>
    </w:p>
    <w:p w:rsidR="002477C4" w:rsidRDefault="002477C4">
      <w:pPr>
        <w:pStyle w:val="ConsPlusNormal"/>
        <w:ind w:firstLine="540"/>
        <w:jc w:val="both"/>
      </w:pPr>
    </w:p>
    <w:p w:rsidR="002477C4" w:rsidRDefault="002477C4">
      <w:pPr>
        <w:pStyle w:val="ConsPlusNormal"/>
        <w:ind w:firstLine="540"/>
        <w:jc w:val="both"/>
      </w:pPr>
      <w:r>
        <w:t>Арбитражный суд Поволжского округа в составе: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председательствующего судьи Хабибуллина Л.Ф.,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судей Егоровой М.В., Кормакова Г.А.,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при участии представителей: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Государственного учреждения - региональное отделение Фонда социального страхования Российской Федерации по Республике Татарстан - Хасановой А.К. (доверенность от 17.04.2017),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Управления Федеральной антимонопольной службы по Республике Татарстан - Валиахметова Р.Х. (доверенность от 06.05.2019),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в отсутствие: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общества с ограниченной ответственностью "Содействие" - извещено надлежащим образом,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рассмотрев в открытом судебном заседании кассационную жалобу Управления Федеральной антимонопольной службы по Республике Татарстан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на решение Арбитражного суда Республики Татарстан от 03.06.2019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08.08.2019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по делу N А65-2780/2019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по заявлению Государственного учреждения - региональное отделение Фонда социального страхования Российской Федерации по Республике Татарстан, г. Казань, к Управлению Федеральной антимонопольной службы по Республике Татарстан, третье лицо: общество с ограниченной ответственностью "Содействие", г. Щелково Московской области, о признании незаконным решения, об обязании,</w:t>
      </w:r>
    </w:p>
    <w:p w:rsidR="002477C4" w:rsidRDefault="002477C4">
      <w:pPr>
        <w:pStyle w:val="ConsPlusNormal"/>
        <w:jc w:val="center"/>
      </w:pPr>
    </w:p>
    <w:p w:rsidR="002477C4" w:rsidRDefault="002477C4">
      <w:pPr>
        <w:pStyle w:val="ConsPlusNormal"/>
        <w:jc w:val="center"/>
      </w:pPr>
      <w:r>
        <w:t>установил:</w:t>
      </w:r>
    </w:p>
    <w:p w:rsidR="002477C4" w:rsidRDefault="002477C4">
      <w:pPr>
        <w:pStyle w:val="ConsPlusNormal"/>
        <w:jc w:val="center"/>
      </w:pPr>
    </w:p>
    <w:p w:rsidR="002477C4" w:rsidRDefault="002477C4">
      <w:pPr>
        <w:pStyle w:val="ConsPlusNormal"/>
        <w:ind w:firstLine="540"/>
        <w:jc w:val="both"/>
      </w:pPr>
      <w:proofErr w:type="gramStart"/>
      <w:r>
        <w:t>Государственное учреждение - региональное отделение Фонда социального страхования Российской Федерации по Республике Татарстан (далее - учреждение) обратилось в Арбитражный суд Республики Татарстан с заявлением о признании незаконным и отмене решения Управления Федеральной антимонопольной службы по Республике Татарстан (далее - антимонопольный орган, управление) от 04.12.2018 по делу РНП 16-147/2018 о невключении общества с ограниченной ответственностью "Содействие" (далее - общество "Содействие") в реестр недобросовестных поставщиков</w:t>
      </w:r>
      <w:proofErr w:type="gramEnd"/>
      <w:r>
        <w:t xml:space="preserve"> и обязании антимонопольный орган включить в реестр недобросовестных поставщиков </w:t>
      </w:r>
      <w:r>
        <w:lastRenderedPageBreak/>
        <w:t>сведения об уклонении общества "Содействие" от заключения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К участию в деле в качестве третьего лица, не заявляющего самостоятельные требования относительно предмета спора, привлечено общество "Содействие".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Решением Арбитражного суда Республики Татарстан от 03.06.2019 заявленные требования удовлетворены, управлению вменено в обязанность </w:t>
      </w:r>
      <w:proofErr w:type="gramStart"/>
      <w:r>
        <w:t>устранить</w:t>
      </w:r>
      <w:proofErr w:type="gramEnd"/>
      <w:r>
        <w:t xml:space="preserve"> допущенные нарушения прав и законных интересов учреждения путем включения в реестр недобросовестных поставщиков сведений об обществе "Содействие".</w:t>
      </w:r>
    </w:p>
    <w:p w:rsidR="002477C4" w:rsidRDefault="002477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477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77C4" w:rsidRDefault="002477C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77C4" w:rsidRDefault="002477C4">
            <w:pPr>
              <w:pStyle w:val="ConsPlusNormal"/>
              <w:jc w:val="both"/>
            </w:pPr>
            <w:r>
              <w:rPr>
                <w:color w:val="392C69"/>
              </w:rPr>
              <w:t>Текст документа приведен в соответствии с оригиналом. Вероятно, имеется в виду постановление Одиннадцатого арбитражного апелляционного суда по данному делу от 08.08.2019, а не от 08.08.2010.</w:t>
            </w:r>
          </w:p>
        </w:tc>
      </w:tr>
    </w:tbl>
    <w:p w:rsidR="002477C4" w:rsidRDefault="002477C4">
      <w:pPr>
        <w:pStyle w:val="ConsPlusNormal"/>
        <w:spacing w:before="30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Одиннадцатого арбитражного апелляционного суда от 08.08.2010 решение суда первой инстанции оставлено без изменения.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Антимонопольный орган не согласился с указанными судебными актами и обратился с кассационной жалобой, в которой просит их отменить по основаниям, указанным в жалобе.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Представитель управления в судебном заседании поддержал доводы, изложенные в кассационной жалобе.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Представитель учреждения в судебном заседании отклонил доводы, изложенные в кассационной жалобе, по основаниям, изложенным в отзыве.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Общество с ограниченной ответственностью "Содействие" в судебное заседание своего представителя не направило, о месте и времени судебного заседания извещено надлежащим образом.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статьями 156</w:t>
        </w:r>
      </w:hyperlink>
      <w:r>
        <w:t xml:space="preserve">, </w:t>
      </w:r>
      <w:hyperlink r:id="rId9" w:history="1">
        <w:r>
          <w:rPr>
            <w:color w:val="0000FF"/>
          </w:rPr>
          <w:t>284</w:t>
        </w:r>
      </w:hyperlink>
      <w:r>
        <w:t xml:space="preserve"> Арбитражного процессуального кодекса Российской Федерации (далее - АПК РФ) судебная коллегия рассмотрела кассационную жалобу без его участия.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Проверив законность обжалуемых актов в порядке </w:t>
      </w:r>
      <w:hyperlink r:id="rId10" w:history="1">
        <w:r>
          <w:rPr>
            <w:color w:val="0000FF"/>
          </w:rPr>
          <w:t>статьи 286</w:t>
        </w:r>
      </w:hyperlink>
      <w:r>
        <w:t xml:space="preserve"> АПК РФ, арбитражный суд кассационной инстанции не находит оснований для их отмены.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Учреждением проведен электронный аукцион на поставку за IV квартал 2018 года абсорбирующего белья (впитывающие простыни) для обеспечения инвалидов (для субъектов малого предпринимательства, социально ориентированных некоммерческих организаций) (извещение от 09.10.2018 N 0211100000118000178).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В соответствии с протоколом подведения итогов электронного аукциона от 01.11.2018 победителем аукциона признано общество "Содействие".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Учреждение в соответствии с </w:t>
      </w:r>
      <w:hyperlink r:id="rId11" w:history="1">
        <w:r>
          <w:rPr>
            <w:color w:val="0000FF"/>
          </w:rPr>
          <w:t>частью 2 статьи. 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Закон) на электронной площадке поместило проект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Победитель аукциона на электронной площадке поместило протокол разногласий в </w:t>
      </w:r>
      <w:r>
        <w:lastRenderedPageBreak/>
        <w:t xml:space="preserve">соответствии с </w:t>
      </w:r>
      <w:hyperlink r:id="rId12" w:history="1">
        <w:r>
          <w:rPr>
            <w:color w:val="0000FF"/>
          </w:rPr>
          <w:t>частью 4 статьи 83.2</w:t>
        </w:r>
      </w:hyperlink>
      <w:r>
        <w:t xml:space="preserve"> Закона.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Рассмотрев протокол разногласий, учреждение на электронной площадке поместило доработанный проект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Вместе с тем в сроки, предусмотренные </w:t>
      </w:r>
      <w:hyperlink r:id="rId13" w:history="1">
        <w:r>
          <w:rPr>
            <w:color w:val="0000FF"/>
          </w:rPr>
          <w:t>частью 6 статьи 83.2</w:t>
        </w:r>
      </w:hyperlink>
      <w:r>
        <w:t xml:space="preserve"> Закона о контрактной системе, общество "Содействие" на электронной площадке не </w:t>
      </w:r>
      <w:proofErr w:type="gramStart"/>
      <w:r>
        <w:t>разместило проект</w:t>
      </w:r>
      <w:proofErr w:type="gramEnd"/>
      <w:r>
        <w:t xml:space="preserve"> контракта, подписанный электронной подписью и документ, подтверждающий обеспечение исполнения контракта, подписанный электронной подписью указанного лица.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Данные обстоятельства послужили </w:t>
      </w:r>
      <w:proofErr w:type="gramStart"/>
      <w:r>
        <w:t>основанием</w:t>
      </w:r>
      <w:proofErr w:type="gramEnd"/>
      <w:r>
        <w:t xml:space="preserve"> для признания победителя аукциона уклонившимся от заключения контракта, о чем учреждением составлен протокол от 16.11.2018.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Учреждение обратилось в антимонопольный орган с заявлением о включении сведений об обществе "Содействие" в реестр недобросовестных поставщиков в связи с уклонением победителя от заключения контракта по результатам проведенного электронного аукциона на поставку абсорбирующего белья (впитывающие простыни) для обеспечения инвалидов.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По результатам рассмотрения указанного обращения учреждения, антимонопольным органом принято решение от 04.12.2018 по делу РНП 16-147/2018, в соответствии с которым сведения об обществе "Содействие" в реестр недобросовестных поставщиков решено не </w:t>
      </w:r>
      <w:proofErr w:type="gramStart"/>
      <w:r>
        <w:t>включать</w:t>
      </w:r>
      <w:proofErr w:type="gramEnd"/>
      <w:r>
        <w:t>.</w:t>
      </w:r>
    </w:p>
    <w:p w:rsidR="002477C4" w:rsidRDefault="002477C4">
      <w:pPr>
        <w:pStyle w:val="ConsPlusNormal"/>
        <w:spacing w:before="240"/>
        <w:ind w:firstLine="540"/>
        <w:jc w:val="both"/>
      </w:pPr>
      <w:proofErr w:type="gramStart"/>
      <w:r>
        <w:t>Свое решение антимонопольный орган мотивировал тем, что на заседании комиссии, представитель общества "Содействие" пояснил, что не смог предоставить обеспечение контракта в связи с тем, что ряд банков, среди которых АО КБ "Локо-банк", АО КБ "Модульбанк, ПАО "Промсвязьбанк", ПАО "Бинбанк" отказали в выдаче банковской гарантии на основании того, что срок осуществления деятельности компании не соответствует требованиям банка.</w:t>
      </w:r>
      <w:proofErr w:type="gramEnd"/>
      <w:r>
        <w:t xml:space="preserve"> Кроме того, такие банки как АО КБ "Русский народный банк", АО АКБ "Абсолютбанк" ранее уже выдававшие обществу "Содействие" обеспечения контракта, в этот раз отказали в банковской гарантии без объяснения причин. Представитель общества также отметил, что собственных средств на банковском счете общества "Содействие" в необходимом объеме (в сумме 2 352 063 руб.) отсутствовали. На заседании комиссии управления также установлено, что в настоящий момент общество "Содействие" осуществляет 59 контрактов на поставку аналогичного товара на всей территории Российской Федерации.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Не согласившись с решением антимонопольного органа, учреждение обратилось в арбитражный суд.</w:t>
      </w:r>
    </w:p>
    <w:p w:rsidR="002477C4" w:rsidRDefault="002477C4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частью 6</w:t>
        </w:r>
      </w:hyperlink>
      <w:r>
        <w:t xml:space="preserve">, </w:t>
      </w:r>
      <w:hyperlink r:id="rId15" w:history="1">
        <w:r>
          <w:rPr>
            <w:color w:val="0000FF"/>
          </w:rPr>
          <w:t>7</w:t>
        </w:r>
      </w:hyperlink>
      <w:r>
        <w:t xml:space="preserve">, </w:t>
      </w:r>
      <w:hyperlink r:id="rId16" w:history="1">
        <w:r>
          <w:rPr>
            <w:color w:val="0000FF"/>
          </w:rPr>
          <w:t>8 статьи 83.2</w:t>
        </w:r>
      </w:hyperlink>
      <w:r>
        <w:t xml:space="preserve"> Закона о контрактной системе победитель электронной процедуры в течение 3 рабочих дней с даты размещения заказчиком в ЕИС и на электронной площадке документов, предусмотренных </w:t>
      </w:r>
      <w:hyperlink r:id="rId17" w:history="1">
        <w:r>
          <w:rPr>
            <w:color w:val="0000FF"/>
          </w:rPr>
          <w:t>частью 5 статьи 83.2</w:t>
        </w:r>
      </w:hyperlink>
      <w:r>
        <w:t xml:space="preserve"> Закона размещает на электронной площадке проект контракта, подписанный усиленной электронной подписью лица, имеющего право действовать от имени того победителя, а также документ и</w:t>
      </w:r>
      <w:proofErr w:type="gramEnd"/>
      <w:r>
        <w:t xml:space="preserve"> информацию в соответствии с </w:t>
      </w:r>
      <w:hyperlink r:id="rId18" w:history="1">
        <w:r>
          <w:rPr>
            <w:color w:val="0000FF"/>
          </w:rPr>
          <w:t>частью 3 статьи 83.2</w:t>
        </w:r>
      </w:hyperlink>
      <w:r>
        <w:t xml:space="preserve"> Закона о контрактной системе, подтверждающие предоставление обеспечения исполнения контракта и подписанные усиленной электронной подписью указанного лица.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Победитель электронной процедуры признается уклонившимся от заключения </w:t>
      </w:r>
      <w:r>
        <w:lastRenderedPageBreak/>
        <w:t xml:space="preserve">контракта в случае, если в срок, предусмотренный </w:t>
      </w:r>
      <w:hyperlink r:id="rId19" w:history="1">
        <w:r>
          <w:rPr>
            <w:color w:val="0000FF"/>
          </w:rPr>
          <w:t>пунктом 3 статьи 83.1</w:t>
        </w:r>
      </w:hyperlink>
      <w:r>
        <w:t xml:space="preserve"> Закона о контрактной системе, он не направил заказчику проект контракта, подписанный лицом, имеющим право действовать от имени такого победителя. </w:t>
      </w:r>
      <w:proofErr w:type="gramStart"/>
      <w:r>
        <w:t>При этом заказчик не позднее одного рабочего дня, следующего за днем признания победителя электронной процедуры уклонившимся от заключения контракта,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составления, о победителе, признанном уклонившимся от заключения контракта, о факте, являющемся основанием для</w:t>
      </w:r>
      <w:proofErr w:type="gramEnd"/>
      <w:r>
        <w:t xml:space="preserve"> такого признания, а также реквизиты документов подтверждающих этот факт.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При проведении данного аукциона заявителем установлено обеспечение исполнения контракта в размере 30% от начальной (максимальной) цены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Частью 5 статьи 96</w:t>
        </w:r>
      </w:hyperlink>
      <w:r>
        <w:t xml:space="preserve"> Закона о контрактной системе определено, что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Применительно к </w:t>
      </w:r>
      <w:hyperlink r:id="rId21" w:history="1">
        <w:r>
          <w:rPr>
            <w:color w:val="0000FF"/>
          </w:rPr>
          <w:t>Закону</w:t>
        </w:r>
      </w:hyperlink>
      <w:r>
        <w:t xml:space="preserve"> о контрактной системе лицо, принимая решение об участии в процедуре проведения закупки, несет риск наступления неблагоприятных для него последствий, предусмотренных указанным </w:t>
      </w:r>
      <w:hyperlink r:id="rId22" w:history="1">
        <w:r>
          <w:rPr>
            <w:color w:val="0000FF"/>
          </w:rPr>
          <w:t>Законом</w:t>
        </w:r>
      </w:hyperlink>
      <w:r>
        <w:t>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Реестр недобросовестных поставщиков является специальной мерой ответственности, установленной законодателем в целях обеспечения исполнения лицом принятых на себя в рамках процедуры закупки обязательств. При этом одним из последствий такого включения (в качестве санкции за допущенное нарушение) может являться ограничение прав такого лица на участие в течение установленного срока в торгах.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Общество "Содействие" не представило доказательств каких-либо обстоятельств, возникших вследствие непреодолимой силы, чрезвычайных событий, и не позволивших ему исполнить надлежащим образом требования законодательства и в установленном порядке подписать проект контракта, а также приложить надлежащие документы в обеспечение исполнения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proofErr w:type="gramStart"/>
      <w:r>
        <w:t>Отказ банков в выдаче банковской гарантии и отсутствие денежных средств для внесения в качестве обеспечение исполнения контракта не могут служить основанием для невключения общества "Содействие" в реестр недобросовестных поставщиков, поскольку, принимая решение об участии в процедуре осуществления закупки и подавая заявку, общество "Содействие" как участник закупки осознавало возможности наступления для него неблагоприятных последствий в случае признания ею победителем и уклонения</w:t>
      </w:r>
      <w:proofErr w:type="gramEnd"/>
      <w:r>
        <w:t xml:space="preserve"> от заключения контракта в дальнейшем.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Рассматриваемые действия (бездействие) общества "Содействие" в силу прямого указания </w:t>
      </w:r>
      <w:hyperlink r:id="rId23" w:history="1">
        <w:r>
          <w:rPr>
            <w:color w:val="0000FF"/>
          </w:rPr>
          <w:t>Закона</w:t>
        </w:r>
      </w:hyperlink>
      <w:r>
        <w:t xml:space="preserve"> о контрактной системе являются уклонением от заключения контракта.</w:t>
      </w:r>
    </w:p>
    <w:p w:rsidR="002477C4" w:rsidRDefault="002477C4">
      <w:pPr>
        <w:pStyle w:val="ConsPlusNormal"/>
        <w:spacing w:before="240"/>
        <w:ind w:firstLine="540"/>
        <w:jc w:val="both"/>
      </w:pPr>
      <w:proofErr w:type="gramStart"/>
      <w:r>
        <w:t>В связи с изложенным судебная коллегия признает обоснованными вывод судов о том, что в данном конкретном случае у антимонопольного органа имелись все необходимые и предусмотренные законом основания для принятия решения о включении в реестр недобросовестных поставщиков сведений об обществе "Содействие" на основании заявления учреждения и приложенных к нему документов, тем самым осуществить защиту нарушенных прав и законных интересов данного государственного</w:t>
      </w:r>
      <w:proofErr w:type="gramEnd"/>
      <w:r>
        <w:t xml:space="preserve"> </w:t>
      </w:r>
      <w:r>
        <w:lastRenderedPageBreak/>
        <w:t>бюджетного учреждения, которое, в свою очередь, по сути, выступило в защиту интересов особо социально значимой категории граждан Российской Федерации - инвалидов.</w:t>
      </w:r>
    </w:p>
    <w:p w:rsidR="002477C4" w:rsidRDefault="002477C4">
      <w:pPr>
        <w:pStyle w:val="ConsPlusNormal"/>
        <w:spacing w:before="240"/>
        <w:ind w:firstLine="540"/>
        <w:jc w:val="both"/>
      </w:pPr>
      <w:proofErr w:type="gramStart"/>
      <w:r>
        <w:t>При этом следует отметить, что судами установлено неисполнение обществом "Содействие" и иных контрактов на поставку аналогичного товара на всей территории Российской Федерации, что свидетельствует о недобросовестном поведении и характере действий общества "Содействие", выраженных в неисполнении (ненадлежащем) исполнении контрактов, не обеспечении создания всех необходимых условий своей деятельности для неукоснительного исполнения своих обязательств по государственным контрактам.</w:t>
      </w:r>
      <w:proofErr w:type="gramEnd"/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Дело рассмотрено судами первой и апелляционной инстанций полно и всесторонне, нормы материального и процессуального права не нарушены, оснований для удовлетворения жалобы и </w:t>
      </w:r>
      <w:proofErr w:type="gramStart"/>
      <w:r>
        <w:t>отмены</w:t>
      </w:r>
      <w:proofErr w:type="gramEnd"/>
      <w:r>
        <w:t xml:space="preserve"> принятых по данному делу судебных актов у кассационной инстанции не имеется.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 xml:space="preserve">На основании изложенного и руководствуясь </w:t>
      </w:r>
      <w:hyperlink r:id="rId24" w:history="1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25" w:history="1">
        <w:r>
          <w:rPr>
            <w:color w:val="0000FF"/>
          </w:rPr>
          <w:t>статьями 286</w:t>
        </w:r>
      </w:hyperlink>
      <w:r>
        <w:t xml:space="preserve">, </w:t>
      </w:r>
      <w:hyperlink r:id="rId26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Арбитражный суд Поволжского округа</w:t>
      </w:r>
    </w:p>
    <w:p w:rsidR="002477C4" w:rsidRDefault="002477C4">
      <w:pPr>
        <w:pStyle w:val="ConsPlusNormal"/>
        <w:jc w:val="center"/>
      </w:pPr>
    </w:p>
    <w:p w:rsidR="002477C4" w:rsidRDefault="002477C4">
      <w:pPr>
        <w:pStyle w:val="ConsPlusNormal"/>
        <w:jc w:val="center"/>
      </w:pPr>
      <w:r>
        <w:t>постановил:</w:t>
      </w:r>
    </w:p>
    <w:p w:rsidR="002477C4" w:rsidRDefault="002477C4">
      <w:pPr>
        <w:pStyle w:val="ConsPlusNormal"/>
        <w:jc w:val="center"/>
      </w:pPr>
    </w:p>
    <w:p w:rsidR="002477C4" w:rsidRDefault="002477C4">
      <w:pPr>
        <w:pStyle w:val="ConsPlusNormal"/>
        <w:ind w:firstLine="540"/>
        <w:jc w:val="both"/>
      </w:pPr>
      <w:r>
        <w:t xml:space="preserve">решение Арбитражного суда Республики Татарстан от 03.06.2019 и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08.08.2019 по делу N А65-2780/2019 оставить без изменения, кассационную жалобу - без удовлетворения.</w:t>
      </w:r>
    </w:p>
    <w:p w:rsidR="002477C4" w:rsidRDefault="002477C4">
      <w:pPr>
        <w:pStyle w:val="ConsPlusNormal"/>
        <w:spacing w:before="240"/>
        <w:ind w:firstLine="540"/>
        <w:jc w:val="both"/>
      </w:pPr>
      <w:r>
        <w:t>Постановление вступает в законную силу со дня его принятия.</w:t>
      </w:r>
    </w:p>
    <w:p w:rsidR="002477C4" w:rsidRDefault="002477C4">
      <w:pPr>
        <w:pStyle w:val="ConsPlusNormal"/>
        <w:ind w:firstLine="540"/>
        <w:jc w:val="both"/>
      </w:pPr>
    </w:p>
    <w:p w:rsidR="002477C4" w:rsidRDefault="002477C4">
      <w:pPr>
        <w:pStyle w:val="ConsPlusNormal"/>
        <w:jc w:val="right"/>
      </w:pPr>
      <w:r>
        <w:t>Председательствующий судья</w:t>
      </w:r>
    </w:p>
    <w:p w:rsidR="002477C4" w:rsidRDefault="002477C4">
      <w:pPr>
        <w:pStyle w:val="ConsPlusNormal"/>
        <w:jc w:val="right"/>
      </w:pPr>
      <w:r>
        <w:t>Л.Ф.ХАБИБУЛЛИН</w:t>
      </w:r>
    </w:p>
    <w:p w:rsidR="002477C4" w:rsidRDefault="002477C4">
      <w:pPr>
        <w:pStyle w:val="ConsPlusNormal"/>
        <w:jc w:val="right"/>
      </w:pPr>
    </w:p>
    <w:p w:rsidR="002477C4" w:rsidRDefault="002477C4">
      <w:pPr>
        <w:pStyle w:val="ConsPlusNormal"/>
        <w:jc w:val="right"/>
      </w:pPr>
      <w:r>
        <w:t>Судьи</w:t>
      </w:r>
    </w:p>
    <w:p w:rsidR="002477C4" w:rsidRDefault="002477C4">
      <w:pPr>
        <w:pStyle w:val="ConsPlusNormal"/>
        <w:jc w:val="right"/>
      </w:pPr>
      <w:r>
        <w:t>М.В.ЕГОРОВА</w:t>
      </w:r>
    </w:p>
    <w:p w:rsidR="002477C4" w:rsidRDefault="002477C4">
      <w:pPr>
        <w:pStyle w:val="ConsPlusNormal"/>
        <w:jc w:val="right"/>
      </w:pPr>
      <w:r>
        <w:t>Г.А.КОРМАКОВ</w:t>
      </w:r>
    </w:p>
    <w:p w:rsidR="002477C4" w:rsidRDefault="002477C4">
      <w:pPr>
        <w:pStyle w:val="ConsPlusNormal"/>
        <w:ind w:firstLine="540"/>
        <w:jc w:val="both"/>
      </w:pPr>
    </w:p>
    <w:p w:rsidR="002477C4" w:rsidRDefault="002477C4">
      <w:pPr>
        <w:pStyle w:val="ConsPlusNormal"/>
        <w:ind w:firstLine="540"/>
        <w:jc w:val="both"/>
      </w:pPr>
    </w:p>
    <w:p w:rsidR="002477C4" w:rsidRDefault="002477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2477C4">
      <w:bookmarkStart w:id="0" w:name="_GoBack"/>
      <w:bookmarkEnd w:id="0"/>
    </w:p>
    <w:sectPr w:rsidR="001552FE" w:rsidSect="00A1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C4"/>
    <w:rsid w:val="002477C4"/>
    <w:rsid w:val="00536E16"/>
    <w:rsid w:val="005C5D8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7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477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47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7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477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47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21A13AC86B6E30CF26ECFB28E1C4004832633D4D3743FB44C1C37EB3EF685E03C3A165A2FE931EDC18290700B1664DDE5D00B8BD4751DRFWDJ" TargetMode="External"/><Relationship Id="rId13" Type="http://schemas.openxmlformats.org/officeDocument/2006/relationships/hyperlink" Target="consultantplus://offline/ref=EBB21A13AC86B6E30CF26ECFB28E1C4004822231D1D4743FB44C1C37EB3EF685E03C3A1E5C2DE265B98E83CC365E0566D5E5D20397RDW6J" TargetMode="External"/><Relationship Id="rId18" Type="http://schemas.openxmlformats.org/officeDocument/2006/relationships/hyperlink" Target="consultantplus://offline/ref=EBB21A13AC86B6E30CF26ECFB28E1C4004822231D1D4743FB44C1C37EB3EF685E03C3A165A27EC3ABC9B9294395C1B78DDF3CE0195D4R7W5J" TargetMode="External"/><Relationship Id="rId26" Type="http://schemas.openxmlformats.org/officeDocument/2006/relationships/hyperlink" Target="consultantplus://offline/ref=EBB21A13AC86B6E30CF26ECFB28E1C4004832633D4D3743FB44C1C37EB3EF685E03C3A165A2FE030E8C18290700B1664DDE5D00B8BD4751DRFW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BB21A13AC86B6E30CF26ECFB28E1C4004822231D1D4743FB44C1C37EB3EF685F23C621A582EF731E0D4D4C136R5WEJ" TargetMode="External"/><Relationship Id="rId7" Type="http://schemas.openxmlformats.org/officeDocument/2006/relationships/hyperlink" Target="consultantplus://offline/ref=EBB21A13AC86B6E30CF270CFB5E6424C068B783CD5D6786AEB1B1A60B46EF0D0A07C3C430B6ABC3CEACAC8C13C401966DFRFWBJ" TargetMode="External"/><Relationship Id="rId12" Type="http://schemas.openxmlformats.org/officeDocument/2006/relationships/hyperlink" Target="consultantplus://offline/ref=EBB21A13AC86B6E30CF26ECFB28E1C4004822231D1D4743FB44C1C37EB3EF685E03C3A1E5C2FE265B98E83CC365E0566D5E5D20397RDW6J" TargetMode="External"/><Relationship Id="rId17" Type="http://schemas.openxmlformats.org/officeDocument/2006/relationships/hyperlink" Target="consultantplus://offline/ref=EBB21A13AC86B6E30CF26ECFB28E1C4004822231D1D4743FB44C1C37EB3EF685E03C3A1E5C2CE265B98E83CC365E0566D5E5D20397RDW6J" TargetMode="External"/><Relationship Id="rId25" Type="http://schemas.openxmlformats.org/officeDocument/2006/relationships/hyperlink" Target="consultantplus://offline/ref=EBB21A13AC86B6E30CF26ECFB28E1C4004832633D4D3743FB44C1C37EB3EF685E03C3A165A2FE139EAC18290700B1664DDE5D00B8BD4751DRFW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B21A13AC86B6E30CF26ECFB28E1C4004822231D1D4743FB44C1C37EB3EF685E03C3A1E5C2BE265B98E83CC365E0566D5E5D20397RDW6J" TargetMode="External"/><Relationship Id="rId20" Type="http://schemas.openxmlformats.org/officeDocument/2006/relationships/hyperlink" Target="consultantplus://offline/ref=EBB21A13AC86B6E30CF26ECFB28E1C4004822231D1D4743FB44C1C37EB3EF685E03C3A165A2FEA35E1C18290700B1664DDE5D00B8BD4751DRFWD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21A13AC86B6E30CF270CFB5E6424C068B783CD5D6786AEB1B1A60B46EF0D0A07C3C430B6ABC3CEACAC8C13C401966DFRFWBJ" TargetMode="External"/><Relationship Id="rId11" Type="http://schemas.openxmlformats.org/officeDocument/2006/relationships/hyperlink" Target="consultantplus://offline/ref=EBB21A13AC86B6E30CF26ECFB28E1C4004822231D1D4743FB44C1C37EB3EF685E03C3A1F5325BD60AC9FDBC334401B6EC3F9D001R9W5J" TargetMode="External"/><Relationship Id="rId24" Type="http://schemas.openxmlformats.org/officeDocument/2006/relationships/hyperlink" Target="consultantplus://offline/ref=EBB21A13AC86B6E30CF26ECFB28E1C4004832633D4D3743FB44C1C37EB3EF685E03C3A165A2FE139E0C18290700B1664DDE5D00B8BD4751DRFWD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BB21A13AC86B6E30CF26ECFB28E1C4004822231D1D4743FB44C1C37EB3EF685E03C3A1E5C2AE265B98E83CC365E0566D5E5D20397RDW6J" TargetMode="External"/><Relationship Id="rId23" Type="http://schemas.openxmlformats.org/officeDocument/2006/relationships/hyperlink" Target="consultantplus://offline/ref=EBB21A13AC86B6E30CF26ECFB28E1C4004822231D1D4743FB44C1C37EB3EF685F23C621A582EF731E0D4D4C136R5WE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BB21A13AC86B6E30CF26ECFB28E1C4004832633D4D3743FB44C1C37EB3EF685E03C3A165A2FE139EAC18290700B1664DDE5D00B8BD4751DRFWDJ" TargetMode="External"/><Relationship Id="rId19" Type="http://schemas.openxmlformats.org/officeDocument/2006/relationships/hyperlink" Target="consultantplus://offline/ref=EBB21A13AC86B6E30CF26ECFB28E1C4004822231D1D4743FB44C1C37EB3EF685E03C3A1E5A2DE265B98E83CC365E0566D5E5D20397RDW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B21A13AC86B6E30CF26ECFB28E1C4004832633D4D3743FB44C1C37EB3EF685E03C3A165A2FE136EEC18290700B1664DDE5D00B8BD4751DRFWDJ" TargetMode="External"/><Relationship Id="rId14" Type="http://schemas.openxmlformats.org/officeDocument/2006/relationships/hyperlink" Target="consultantplus://offline/ref=EBB21A13AC86B6E30CF26ECFB28E1C4004822231D1D4743FB44C1C37EB3EF685E03C3A1E5C2DE265B98E83CC365E0566D5E5D20397RDW6J" TargetMode="External"/><Relationship Id="rId22" Type="http://schemas.openxmlformats.org/officeDocument/2006/relationships/hyperlink" Target="consultantplus://offline/ref=EBB21A13AC86B6E30CF26ECFB28E1C4004822231D1D4743FB44C1C37EB3EF685F23C621A582EF731E0D4D4C136R5WEJ" TargetMode="External"/><Relationship Id="rId27" Type="http://schemas.openxmlformats.org/officeDocument/2006/relationships/hyperlink" Target="consultantplus://offline/ref=EBB21A13AC86B6E30CF270CFB5E6424C068B783CD5D6786AEB1B1A60B46EF0D0A07C3C430B6ABC3CEACAC8C13C401966DFRF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2020-08-20T09:22:00Z</dcterms:created>
  <dcterms:modified xsi:type="dcterms:W3CDTF">2020-08-20T09:23:00Z</dcterms:modified>
</cp:coreProperties>
</file>