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29" w:rsidRDefault="00160D2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0D29" w:rsidRDefault="00160D29">
      <w:pPr>
        <w:pStyle w:val="ConsPlusNormal"/>
        <w:ind w:firstLine="540"/>
        <w:jc w:val="both"/>
        <w:outlineLvl w:val="0"/>
      </w:pPr>
    </w:p>
    <w:p w:rsidR="00160D29" w:rsidRDefault="00160D29">
      <w:pPr>
        <w:pStyle w:val="ConsPlusTitle"/>
        <w:jc w:val="center"/>
      </w:pPr>
      <w:r>
        <w:t>ВЕРХОВНЫЙ СУД РОССИЙСКОЙ ФЕДЕРАЦИИ</w:t>
      </w:r>
    </w:p>
    <w:p w:rsidR="00160D29" w:rsidRDefault="00160D29">
      <w:pPr>
        <w:pStyle w:val="ConsPlusTitle"/>
        <w:jc w:val="center"/>
      </w:pPr>
    </w:p>
    <w:p w:rsidR="00160D29" w:rsidRDefault="00160D29">
      <w:pPr>
        <w:pStyle w:val="ConsPlusTitle"/>
        <w:jc w:val="center"/>
      </w:pPr>
      <w:r>
        <w:t>ОПРЕДЕЛЕНИЕ</w:t>
      </w:r>
    </w:p>
    <w:p w:rsidR="00160D29" w:rsidRDefault="00160D29">
      <w:pPr>
        <w:pStyle w:val="ConsPlusTitle"/>
        <w:jc w:val="center"/>
      </w:pPr>
      <w:r>
        <w:t>от 23 сентября 2019 г. N 306-ЭС19-15999</w:t>
      </w:r>
    </w:p>
    <w:p w:rsidR="00160D29" w:rsidRDefault="00160D29">
      <w:pPr>
        <w:pStyle w:val="ConsPlusNormal"/>
        <w:ind w:firstLine="540"/>
        <w:jc w:val="both"/>
      </w:pPr>
    </w:p>
    <w:p w:rsidR="00160D29" w:rsidRDefault="00160D29">
      <w:pPr>
        <w:pStyle w:val="ConsPlusNormal"/>
        <w:ind w:firstLine="540"/>
        <w:jc w:val="both"/>
      </w:pPr>
      <w:r>
        <w:t xml:space="preserve">Судья Верховного Суда Российской Федерации Антонова М.К., изучив кассационную жалобу индивидуального предпринимателя Быкова Алексея Владимировича (далее - предприниматель) на решение Арбитражного суда Волгоградской области от 08.10.2018,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Двенадцатого арбитражного апелляционного суда от 22.01.2019 и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Арбитражного суда Поволжского округа от 18.06.2019 по делу N А12-25318/2018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 xml:space="preserve">по заявлению предпринимателя о признании </w:t>
      </w:r>
      <w:proofErr w:type="gramStart"/>
      <w:r>
        <w:t>недействительным</w:t>
      </w:r>
      <w:proofErr w:type="gramEnd"/>
      <w:r>
        <w:t xml:space="preserve"> решения Управления Федеральной антимонопольной службы по Волгоградской области (далее - управление, антимонопольный орган) от 28.05.2018 N 02-11/3409 о включении сведений о предпринимателе в реестр недобросовестных поставщиков, об исключении из реестра недобросовестных поставщиков сведения в отношении предпринимателя,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>при участии в качестве третьего лица, не заявляющего самостоятельных требований относительно предмета спора - Комитета транспорта и дорожного хозяйства Волгоградской области (далее - комитет, заказчик),</w:t>
      </w:r>
    </w:p>
    <w:p w:rsidR="00160D29" w:rsidRDefault="00160D29">
      <w:pPr>
        <w:pStyle w:val="ConsPlusNormal"/>
        <w:jc w:val="center"/>
      </w:pPr>
    </w:p>
    <w:p w:rsidR="00160D29" w:rsidRDefault="00160D29">
      <w:pPr>
        <w:pStyle w:val="ConsPlusNormal"/>
        <w:jc w:val="center"/>
      </w:pPr>
      <w:r>
        <w:t>установил:</w:t>
      </w:r>
    </w:p>
    <w:p w:rsidR="00160D29" w:rsidRDefault="00160D29">
      <w:pPr>
        <w:pStyle w:val="ConsPlusNormal"/>
        <w:jc w:val="center"/>
      </w:pPr>
    </w:p>
    <w:p w:rsidR="00160D29" w:rsidRDefault="00160D29">
      <w:pPr>
        <w:pStyle w:val="ConsPlusNormal"/>
        <w:ind w:firstLine="540"/>
        <w:jc w:val="both"/>
      </w:pPr>
      <w:r>
        <w:t xml:space="preserve">решением суда первой инстанции от 08.10.2018, оставленным без изменения постановлениями Двенадцатого арбитражного апелляционного суда от </w:t>
      </w:r>
      <w:hyperlink r:id="rId8" w:history="1">
        <w:r>
          <w:rPr>
            <w:color w:val="0000FF"/>
          </w:rPr>
          <w:t>22.01.2019</w:t>
        </w:r>
      </w:hyperlink>
      <w:r>
        <w:t xml:space="preserve"> и Арбитражного суда Поволжского округа от </w:t>
      </w:r>
      <w:hyperlink r:id="rId9" w:history="1">
        <w:r>
          <w:rPr>
            <w:color w:val="0000FF"/>
          </w:rPr>
          <w:t>18.06.2019</w:t>
        </w:r>
      </w:hyperlink>
      <w:r>
        <w:t>, в удовлетворении заявления отказано.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>В кассационной жалобе предприниматель ставит вопрос об отмене принятых по делу судебных актов, ссылаясь на нарушение судами норм материального права.</w:t>
      </w:r>
    </w:p>
    <w:p w:rsidR="00160D29" w:rsidRDefault="00160D29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0" w:history="1">
        <w:r>
          <w:rPr>
            <w:color w:val="0000FF"/>
          </w:rPr>
          <w:t>пункту 1 части 7 статьи 291.6</w:t>
        </w:r>
      </w:hyperlink>
      <w:r>
        <w:t xml:space="preserve"> Арбитражного процессуального кодекса Российской Федерации по результатам изучения кассационной жалобы судья Верховного Суда Российской Федерации выносит определение об отказе в передаче кассационной жалобы для рассмотрения в судебном заседании Судебной коллегии Верховного Суда Российской Федерации, если изложенные в кассационной жалобе доводы не подтверждают существенных нарушений норм материального права и (или) норм процессуального права, повлиявших</w:t>
      </w:r>
      <w:proofErr w:type="gramEnd"/>
      <w:r>
        <w:t xml:space="preserve"> на исход дела, и не являются достаточным основанием для пересмотра судебных актов в кассационном порядке, а также если указанные доводы не находят подтверждения в материалах дела.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>При изучении доводов кассационной жалобы и принятых по делу судебных актов не установлено оснований, по которым жалоба может быть передана для рассмотрения в судебном заседании Судебной коллегии по экономическим спорам Верховного Суда Российской Федерации.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 xml:space="preserve">Как усматривается из судебных актов, предприниматель признан победителем электронного аукциона N 0129200005318000713, в </w:t>
      </w:r>
      <w:proofErr w:type="gramStart"/>
      <w:r>
        <w:t>связи</w:t>
      </w:r>
      <w:proofErr w:type="gramEnd"/>
      <w:r>
        <w:t xml:space="preserve"> с чем в его адрес комитетом направлен проект контракта, в пункте 4.1 которого было указано, что цена контракта установлена в соответствии с результатами аукциона и составляет 17 635 350 рублей, в том числе НДС - 2 690 138 рублей 14 копеек.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 xml:space="preserve">В связи с применением упрощенной системы налогообложения предприниматель неоднократно направлял в адрес заказчика протоколы разногласий с просьбой исключить налог на добавленную </w:t>
      </w:r>
      <w:r>
        <w:lastRenderedPageBreak/>
        <w:t>стоимость из цены контракта, которые были отклонены.</w:t>
      </w:r>
    </w:p>
    <w:p w:rsidR="00160D29" w:rsidRDefault="00160D29">
      <w:pPr>
        <w:pStyle w:val="ConsPlusNormal"/>
        <w:spacing w:before="240"/>
        <w:ind w:firstLine="540"/>
        <w:jc w:val="both"/>
      </w:pPr>
      <w:proofErr w:type="gramStart"/>
      <w:r>
        <w:t xml:space="preserve">Поскольку в сроки, установленные </w:t>
      </w:r>
      <w:hyperlink r:id="rId11" w:history="1">
        <w:r>
          <w:rPr>
            <w:color w:val="0000FF"/>
          </w:rPr>
          <w:t>статьей 70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контракт со стороны предпринимателя подписан не был, обеспечение в размере, установленном требованиями документации, не предоставлено, заказчик обратился в антимонопольный орган с заявлением о включении сведений о предпринимателе в</w:t>
      </w:r>
      <w:proofErr w:type="gramEnd"/>
      <w:r>
        <w:t xml:space="preserve"> реестр недобросовестных поставщиков, в связи с уклонением его от заключения контракта по результатам электронного аукциона.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>По результатам рассмотрения представленных документов управлением вынесено оспариваемое решение, которым сведения о предпринимателе включены в реестр недобросовестных поставщиков.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 xml:space="preserve">Исследовав и оценив представленные в материалы дела доказательства по правилам </w:t>
      </w:r>
      <w:hyperlink r:id="rId12" w:history="1">
        <w:r>
          <w:rPr>
            <w:color w:val="0000FF"/>
          </w:rPr>
          <w:t>главы 7</w:t>
        </w:r>
      </w:hyperlink>
      <w:r>
        <w:t xml:space="preserve"> Арбитражного процессуального кодекса Российской Федерации, руководствуясь положениями </w:t>
      </w:r>
      <w:hyperlink r:id="rId13" w:history="1">
        <w:r>
          <w:rPr>
            <w:color w:val="0000FF"/>
          </w:rPr>
          <w:t>статей 34</w:t>
        </w:r>
      </w:hyperlink>
      <w:r>
        <w:t xml:space="preserve">, </w:t>
      </w:r>
      <w:hyperlink r:id="rId14" w:history="1">
        <w:r>
          <w:rPr>
            <w:color w:val="0000FF"/>
          </w:rPr>
          <w:t>70</w:t>
        </w:r>
      </w:hyperlink>
      <w:r>
        <w:t xml:space="preserve">, </w:t>
      </w:r>
      <w:hyperlink r:id="rId15" w:history="1">
        <w:r>
          <w:rPr>
            <w:color w:val="0000FF"/>
          </w:rPr>
          <w:t>95</w:t>
        </w:r>
      </w:hyperlink>
      <w:r>
        <w:t xml:space="preserve">, </w:t>
      </w:r>
      <w:hyperlink r:id="rId16" w:history="1">
        <w:r>
          <w:rPr>
            <w:color w:val="0000FF"/>
          </w:rPr>
          <w:t>104</w:t>
        </w:r>
      </w:hyperlink>
      <w:r>
        <w:t xml:space="preserve"> Закона о контрактной системе,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ведения реестра недобросовестных поставщиков (подрядчиков, исполнителей), утвержденными Постановлением Правительства Российской Федерации от 25.11.2013 N 1062, суды пришли к </w:t>
      </w:r>
      <w:proofErr w:type="gramStart"/>
      <w:r>
        <w:t>выводу</w:t>
      </w:r>
      <w:proofErr w:type="gramEnd"/>
      <w:r>
        <w:t xml:space="preserve"> о соответствии ненормативного акта действующему законодательству с учетом установленных обстоятельств по делу.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>При этом судебные инстанции исходили из того, что оплата контракта, заключенного по результатам запроса котировок, должна производиться исходя из той цены, которая указана в данном контракте, а данная цена, в свою очередь, формируется исходя из ценового предложения участника - победителя. Поскольку заказчик указал, что стоимость работ включает в себя НДС, суды пришли к выводу о необходимости заключения контракта на соответствующих условиях, вне зависимости от применения системы налогообложения участником закупки.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>Суды отметили, что установленная контрактом стоимость оплаты соответствующих товаров, работ или услуг не соотносится с налоговыми обязательствами победителя, а является обязательством заказчика оплатить контракт в установленном размере при надлежащем его исполнении.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 xml:space="preserve">Доводы кассационной жалобы основаны на ошибочном толковании норм права, сводятся к несогласию с выводами судов, направлены на иную оценку установленных по делу обстоятельств, не подтверждают существенные нарушения норм материального и (или) процессуального права, которые могли повлиять на исход </w:t>
      </w:r>
      <w:proofErr w:type="gramStart"/>
      <w:r>
        <w:t>дела</w:t>
      </w:r>
      <w:proofErr w:type="gramEnd"/>
      <w:r>
        <w:t xml:space="preserve"> и являются достаточным основанием для пересмотра обжалуемых судебных актов в кассационном порядке.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>Ссылка заявителя на судебную практику не может служить основанием для отмены обжалуемых судебных актов с учетом фактических обстоятельств настоящего спора.</w:t>
      </w:r>
    </w:p>
    <w:p w:rsidR="00160D29" w:rsidRDefault="00160D29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18" w:history="1">
        <w:r>
          <w:rPr>
            <w:color w:val="0000FF"/>
          </w:rPr>
          <w:t>статьями 291.6</w:t>
        </w:r>
      </w:hyperlink>
      <w:r>
        <w:t xml:space="preserve"> и </w:t>
      </w:r>
      <w:hyperlink r:id="rId19" w:history="1">
        <w:r>
          <w:rPr>
            <w:color w:val="0000FF"/>
          </w:rPr>
          <w:t>291.8</w:t>
        </w:r>
      </w:hyperlink>
      <w:r>
        <w:t xml:space="preserve"> Арбитражного процессуального кодекса Российской Федерации,</w:t>
      </w:r>
    </w:p>
    <w:p w:rsidR="00160D29" w:rsidRDefault="00160D29">
      <w:pPr>
        <w:pStyle w:val="ConsPlusNormal"/>
        <w:jc w:val="center"/>
      </w:pPr>
    </w:p>
    <w:p w:rsidR="00160D29" w:rsidRDefault="00160D29">
      <w:pPr>
        <w:pStyle w:val="ConsPlusNormal"/>
        <w:jc w:val="center"/>
      </w:pPr>
      <w:r>
        <w:t>определил:</w:t>
      </w:r>
    </w:p>
    <w:p w:rsidR="00160D29" w:rsidRDefault="00160D29">
      <w:pPr>
        <w:pStyle w:val="ConsPlusNormal"/>
        <w:jc w:val="center"/>
      </w:pPr>
    </w:p>
    <w:p w:rsidR="00160D29" w:rsidRDefault="00160D29">
      <w:pPr>
        <w:pStyle w:val="ConsPlusNormal"/>
        <w:ind w:firstLine="540"/>
        <w:jc w:val="both"/>
      </w:pPr>
      <w:r>
        <w:t>отказать индивидуальному предпринимателю Быкову Алексею Владимировичу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160D29" w:rsidRDefault="00160D29">
      <w:pPr>
        <w:pStyle w:val="ConsPlusNormal"/>
        <w:ind w:firstLine="540"/>
        <w:jc w:val="both"/>
      </w:pPr>
    </w:p>
    <w:p w:rsidR="00160D29" w:rsidRDefault="00160D29">
      <w:pPr>
        <w:pStyle w:val="ConsPlusNormal"/>
        <w:jc w:val="right"/>
      </w:pPr>
      <w:r>
        <w:t>Судья</w:t>
      </w:r>
    </w:p>
    <w:p w:rsidR="00160D29" w:rsidRDefault="00160D29">
      <w:pPr>
        <w:pStyle w:val="ConsPlusNormal"/>
        <w:jc w:val="right"/>
      </w:pPr>
      <w:r>
        <w:t>Верховного Суда Российской Федерации</w:t>
      </w:r>
    </w:p>
    <w:p w:rsidR="00160D29" w:rsidRDefault="00160D29">
      <w:pPr>
        <w:pStyle w:val="ConsPlusNormal"/>
        <w:jc w:val="right"/>
      </w:pPr>
      <w:r>
        <w:t>М.К.АНТОНОВА</w:t>
      </w:r>
    </w:p>
    <w:p w:rsidR="00160D29" w:rsidRDefault="00160D29">
      <w:pPr>
        <w:pStyle w:val="ConsPlusNormal"/>
        <w:ind w:firstLine="540"/>
        <w:jc w:val="both"/>
      </w:pPr>
    </w:p>
    <w:p w:rsidR="00160D29" w:rsidRDefault="00160D29">
      <w:pPr>
        <w:pStyle w:val="ConsPlusNormal"/>
        <w:ind w:firstLine="540"/>
        <w:jc w:val="both"/>
      </w:pPr>
    </w:p>
    <w:p w:rsidR="00160D29" w:rsidRDefault="00160D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160D29">
      <w:bookmarkStart w:id="0" w:name="_GoBack"/>
      <w:bookmarkEnd w:id="0"/>
    </w:p>
    <w:sectPr w:rsidR="001552FE" w:rsidSect="003928A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29"/>
    <w:rsid w:val="00160D29"/>
    <w:rsid w:val="00321B45"/>
    <w:rsid w:val="0048677B"/>
    <w:rsid w:val="00536E16"/>
    <w:rsid w:val="005C5D8E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D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160D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160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D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160D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160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A5C34D90522A1B58E5B2131B82242821ED9E63E11EEA4A82860048C436213960883B893C5166B76B0B2780CE1B3BEE51D7bEJ" TargetMode="External"/><Relationship Id="rId13" Type="http://schemas.openxmlformats.org/officeDocument/2006/relationships/hyperlink" Target="consultantplus://offline/ref=BCA5C34D90522A1B58E5AC131CEA7A2420E6C46FE71FE514D8D1061F9B66276C20C83DDC6D1537BA69096DD18E5034EC5A616CEC57D881EAD8b8J" TargetMode="External"/><Relationship Id="rId18" Type="http://schemas.openxmlformats.org/officeDocument/2006/relationships/hyperlink" Target="consultantplus://offline/ref=BCA5C34D90522A1B58E5AC131CEA7A2420E7C96EE61AE514D8D1061F9B66276C20C83DDA691138EE38466C8DC80C27EE57616EE84BDDbB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CA5C34D90522A1B58E5A1021DEA7A2422E1C76CE41AE514D8D1061F9B66276C32C865D06F1C2DBA6D1C3B80C8D0b4J" TargetMode="External"/><Relationship Id="rId12" Type="http://schemas.openxmlformats.org/officeDocument/2006/relationships/hyperlink" Target="consultantplus://offline/ref=BCA5C34D90522A1B58E5AC131CEA7A2420E7C96EE61AE514D8D1061F9B66276C20C83DDC6D1530BC60096DD18E5034EC5A616CEC57D881EAD8b8J" TargetMode="External"/><Relationship Id="rId17" Type="http://schemas.openxmlformats.org/officeDocument/2006/relationships/hyperlink" Target="consultantplus://offline/ref=BCA5C34D90522A1B58E5AC131CEA7A2422E1C36DE01EE514D8D1061F9B66276C20C83DDC6D1533BB6D096DD18E5034EC5A616CEC57D881EAD8b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A5C34D90522A1B58E5AC131CEA7A2420E6C46FE71FE514D8D1061F9B66276C20C83DDC6D1437B36E096DD18E5034EC5A616CEC57D881EAD8b8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A5C34D90522A1B58E5B2131B82242821ED9E63E11EEA4A82860048C436213960883B893C5166B76B0B2780CE1B3BEE51D7bEJ" TargetMode="External"/><Relationship Id="rId11" Type="http://schemas.openxmlformats.org/officeDocument/2006/relationships/hyperlink" Target="consultantplus://offline/ref=BCA5C34D90522A1B58E5AC131CEA7A2420E6C16DE51AE514D8D1061F9B66276C20C83DDC6D153ABE69096DD18E5034EC5A616CEC57D881EAD8b8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CA5C34D90522A1B58E5AC131CEA7A2420E6C46FE71FE514D8D1061F9B66276C20C83DDC6D1430BA60096DD18E5034EC5A616CEC57D881EAD8b8J" TargetMode="External"/><Relationship Id="rId10" Type="http://schemas.openxmlformats.org/officeDocument/2006/relationships/hyperlink" Target="consultantplus://offline/ref=BCA5C34D90522A1B58E5AC131CEA7A2420E7C96EE61AE514D8D1061F9B66276C20C83DDA681738EE38466C8DC80C27EE57616EE84BDDbBJ" TargetMode="External"/><Relationship Id="rId19" Type="http://schemas.openxmlformats.org/officeDocument/2006/relationships/hyperlink" Target="consultantplus://offline/ref=BCA5C34D90522A1B58E5AC131CEA7A2420E7C96EE61AE514D8D1061F9B66276C20C83DDA681D38EE38466C8DC80C27EE57616EE84BDDb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A5C34D90522A1B58E5A1021DEA7A2422E1C76CE41AE514D8D1061F9B66276C32C865D06F1C2DBA6D1C3B80C8D0b4J" TargetMode="External"/><Relationship Id="rId14" Type="http://schemas.openxmlformats.org/officeDocument/2006/relationships/hyperlink" Target="consultantplus://offline/ref=BCA5C34D90522A1B58E5AC131CEA7A2420E6C16DE51AE514D8D1061F9B66276C20C83DDC6D153ABE69096DD18E5034EC5A616CEC57D881EAD8b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2021-04-29T09:27:00Z</dcterms:created>
  <dcterms:modified xsi:type="dcterms:W3CDTF">2021-04-29T09:27:00Z</dcterms:modified>
</cp:coreProperties>
</file>