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06" w:rsidRDefault="00FC1806">
      <w:pPr>
        <w:pStyle w:val="ConsPlusTitlePage"/>
      </w:pPr>
      <w:r>
        <w:t xml:space="preserve">Документ предоставлен </w:t>
      </w:r>
      <w:hyperlink r:id="rId5" w:history="1">
        <w:r>
          <w:rPr>
            <w:color w:val="0000FF"/>
          </w:rPr>
          <w:t>КонсультантПлюс</w:t>
        </w:r>
      </w:hyperlink>
      <w:r>
        <w:br/>
      </w:r>
    </w:p>
    <w:p w:rsidR="00FC1806" w:rsidRDefault="00FC1806">
      <w:pPr>
        <w:pStyle w:val="ConsPlusNormal"/>
        <w:jc w:val="both"/>
        <w:outlineLvl w:val="0"/>
      </w:pPr>
    </w:p>
    <w:p w:rsidR="00FC1806" w:rsidRDefault="00FC1806">
      <w:pPr>
        <w:pStyle w:val="ConsPlusTitle"/>
        <w:jc w:val="center"/>
      </w:pPr>
      <w:r>
        <w:t>ОДИННАДЦАТЫЙ АРБИТРАЖНЫЙ АПЕЛЛЯЦИОННЫЙ СУД</w:t>
      </w:r>
    </w:p>
    <w:p w:rsidR="00FC1806" w:rsidRDefault="00FC1806">
      <w:pPr>
        <w:pStyle w:val="ConsPlusTitle"/>
        <w:jc w:val="center"/>
      </w:pPr>
    </w:p>
    <w:p w:rsidR="00FC1806" w:rsidRDefault="00FC1806">
      <w:pPr>
        <w:pStyle w:val="ConsPlusTitle"/>
        <w:jc w:val="center"/>
      </w:pPr>
      <w:r>
        <w:t>ПОСТАНОВЛЕНИЕ</w:t>
      </w:r>
    </w:p>
    <w:p w:rsidR="00FC1806" w:rsidRDefault="00FC1806">
      <w:pPr>
        <w:pStyle w:val="ConsPlusTitle"/>
        <w:jc w:val="center"/>
      </w:pPr>
      <w:r>
        <w:t xml:space="preserve">от 30 августа 2019 г. </w:t>
      </w:r>
      <w:bookmarkStart w:id="0" w:name="_GoBack"/>
      <w:r>
        <w:t>по делу N А65-5105/2019</w:t>
      </w:r>
      <w:bookmarkEnd w:id="0"/>
    </w:p>
    <w:p w:rsidR="00FC1806" w:rsidRDefault="00FC1806">
      <w:pPr>
        <w:pStyle w:val="ConsPlusNormal"/>
        <w:jc w:val="both"/>
      </w:pPr>
    </w:p>
    <w:p w:rsidR="00FC1806" w:rsidRDefault="00FC1806">
      <w:pPr>
        <w:pStyle w:val="ConsPlusNormal"/>
        <w:ind w:firstLine="540"/>
        <w:jc w:val="both"/>
      </w:pPr>
      <w:r>
        <w:t>Резолютивная часть постановления объявлена 23 августа 2019 года.</w:t>
      </w:r>
    </w:p>
    <w:p w:rsidR="00FC1806" w:rsidRDefault="00FC1806">
      <w:pPr>
        <w:pStyle w:val="ConsPlusNormal"/>
        <w:spacing w:before="240"/>
        <w:ind w:firstLine="540"/>
        <w:jc w:val="both"/>
      </w:pPr>
      <w:r>
        <w:t>Постановление в полном объеме изготовлено 30 августа 2019 года.</w:t>
      </w:r>
    </w:p>
    <w:p w:rsidR="00FC1806" w:rsidRDefault="00FC1806">
      <w:pPr>
        <w:pStyle w:val="ConsPlusNormal"/>
        <w:spacing w:before="240"/>
        <w:ind w:firstLine="540"/>
        <w:jc w:val="both"/>
      </w:pPr>
      <w:r>
        <w:t>Одиннадцатый арбитражный апелляционный суд в составе:</w:t>
      </w:r>
    </w:p>
    <w:p w:rsidR="00FC1806" w:rsidRDefault="00FC1806">
      <w:pPr>
        <w:pStyle w:val="ConsPlusNormal"/>
        <w:spacing w:before="240"/>
        <w:ind w:firstLine="540"/>
        <w:jc w:val="both"/>
      </w:pPr>
      <w:r>
        <w:t>председательствующего судьи Сафаевой Н.Р.,</w:t>
      </w:r>
    </w:p>
    <w:p w:rsidR="00FC1806" w:rsidRDefault="00FC1806">
      <w:pPr>
        <w:pStyle w:val="ConsPlusNormal"/>
        <w:spacing w:before="240"/>
        <w:ind w:firstLine="540"/>
        <w:jc w:val="both"/>
      </w:pPr>
      <w:r>
        <w:t>судей Коршиковой Е.В., Николаевой С.Ю.,</w:t>
      </w:r>
    </w:p>
    <w:p w:rsidR="00FC1806" w:rsidRDefault="00FC1806">
      <w:pPr>
        <w:pStyle w:val="ConsPlusNormal"/>
        <w:spacing w:before="240"/>
        <w:ind w:firstLine="540"/>
        <w:jc w:val="both"/>
      </w:pPr>
      <w:r>
        <w:t>при ведении протокола помощником судьи Холмецкой Е.А.,</w:t>
      </w:r>
    </w:p>
    <w:p w:rsidR="00FC1806" w:rsidRDefault="00FC1806">
      <w:pPr>
        <w:pStyle w:val="ConsPlusNormal"/>
        <w:spacing w:before="240"/>
        <w:ind w:firstLine="540"/>
        <w:jc w:val="both"/>
      </w:pPr>
      <w:r>
        <w:t>с участием:</w:t>
      </w:r>
    </w:p>
    <w:p w:rsidR="00FC1806" w:rsidRDefault="00FC1806">
      <w:pPr>
        <w:pStyle w:val="ConsPlusNormal"/>
        <w:spacing w:before="240"/>
        <w:ind w:firstLine="540"/>
        <w:jc w:val="both"/>
      </w:pPr>
      <w:r>
        <w:t>от общества с ограниченной ответственностью "Дорожное эксплуатационное предприятие N 132" - представителя Антонова В.В., действующего по доверенности от 05.03.2019,</w:t>
      </w:r>
    </w:p>
    <w:p w:rsidR="00FC1806" w:rsidRDefault="00FC1806">
      <w:pPr>
        <w:pStyle w:val="ConsPlusNormal"/>
        <w:spacing w:before="240"/>
        <w:ind w:firstLine="540"/>
        <w:jc w:val="both"/>
      </w:pPr>
      <w:r>
        <w:t>от общества с ограниченной ответственностью Коммерческий банк экономического развития "Банк Казани" - представителя Гимадиева В.И., действующего по доверенности N 213 от 22.08.2019,</w:t>
      </w:r>
    </w:p>
    <w:p w:rsidR="00FC1806" w:rsidRDefault="00FC1806">
      <w:pPr>
        <w:pStyle w:val="ConsPlusNormal"/>
        <w:spacing w:before="240"/>
        <w:ind w:firstLine="540"/>
        <w:jc w:val="both"/>
      </w:pPr>
      <w:r>
        <w:t>рассмотрев в открытом судебном заседании</w:t>
      </w:r>
    </w:p>
    <w:p w:rsidR="00FC1806" w:rsidRDefault="00FC1806">
      <w:pPr>
        <w:pStyle w:val="ConsPlusNormal"/>
        <w:spacing w:before="240"/>
        <w:ind w:firstLine="540"/>
        <w:jc w:val="both"/>
      </w:pPr>
      <w:r>
        <w:t>апелляционную жалобу общества с ограниченной ответственностью "Дорожное эксплуатационное предприятие N 132" на решение Арбитражного суда Республики Татарстан от 24.06.2019 по делу N А65-5105/2019 (судья Гиззятов Т.Р.)</w:t>
      </w:r>
    </w:p>
    <w:p w:rsidR="00FC1806" w:rsidRDefault="00FC1806">
      <w:pPr>
        <w:pStyle w:val="ConsPlusNormal"/>
        <w:spacing w:before="240"/>
        <w:ind w:firstLine="540"/>
        <w:jc w:val="both"/>
      </w:pPr>
      <w:r>
        <w:t>по иску общества с ограниченной ответственностью "Дорожное эксплуатационное предприятие N 132" (ОГРН 1154910001234, ИНН 4909122250)</w:t>
      </w:r>
    </w:p>
    <w:p w:rsidR="00FC1806" w:rsidRDefault="00FC1806">
      <w:pPr>
        <w:pStyle w:val="ConsPlusNormal"/>
        <w:spacing w:before="240"/>
        <w:ind w:firstLine="540"/>
        <w:jc w:val="both"/>
      </w:pPr>
      <w:r>
        <w:t>к обществу с ограниченной ответственностью Коммерческий банк экономического развития "Банк Казани" (ОГРН 1021600000014, ИНН 1653018661)</w:t>
      </w:r>
    </w:p>
    <w:p w:rsidR="00FC1806" w:rsidRDefault="00FC1806">
      <w:pPr>
        <w:pStyle w:val="ConsPlusNormal"/>
        <w:spacing w:before="240"/>
        <w:ind w:firstLine="540"/>
        <w:jc w:val="both"/>
      </w:pPr>
      <w:r>
        <w:t>о взыскании неосновательного обогащения в размере 5 513 910 рублей 87 копеек, процентов за пользование чужими денежными средствами в размере 113 828 рублей 27 копеек,</w:t>
      </w:r>
    </w:p>
    <w:p w:rsidR="00FC1806" w:rsidRDefault="00FC1806">
      <w:pPr>
        <w:pStyle w:val="ConsPlusNormal"/>
        <w:jc w:val="both"/>
      </w:pPr>
    </w:p>
    <w:p w:rsidR="00FC1806" w:rsidRDefault="00FC1806">
      <w:pPr>
        <w:pStyle w:val="ConsPlusNormal"/>
        <w:jc w:val="center"/>
      </w:pPr>
      <w:r>
        <w:t>установил:</w:t>
      </w:r>
    </w:p>
    <w:p w:rsidR="00FC1806" w:rsidRDefault="00FC1806">
      <w:pPr>
        <w:pStyle w:val="ConsPlusNormal"/>
        <w:jc w:val="both"/>
      </w:pPr>
    </w:p>
    <w:p w:rsidR="00FC1806" w:rsidRDefault="00FC1806">
      <w:pPr>
        <w:pStyle w:val="ConsPlusNormal"/>
        <w:ind w:firstLine="540"/>
        <w:jc w:val="both"/>
      </w:pPr>
      <w:proofErr w:type="gramStart"/>
      <w:r>
        <w:t>общество с ограниченной ответственностью "Дорожное эксплуатационное предприятие N 132" (далее - истец) обратилось в Арбитражный суд Республики Татарстан с исковым заявлением к обществу с ограниченной ответственностью Коммерческий банк экономического развития "Банк Казани" (далее - ответчик) о взыскании неосновательного обогащения в размере 5 513 910 рублей 87 копеек, возникших на стороне ответчика в связи с досрочным прекращением действия выданной банковской гарантии, процентов за</w:t>
      </w:r>
      <w:proofErr w:type="gramEnd"/>
      <w:r>
        <w:t xml:space="preserve"> пользование чужими денежными средствами в размере 113 828 рублей 27 копеек.</w:t>
      </w:r>
    </w:p>
    <w:p w:rsidR="00FC1806" w:rsidRDefault="00FC1806">
      <w:pPr>
        <w:pStyle w:val="ConsPlusNormal"/>
        <w:spacing w:before="240"/>
        <w:ind w:firstLine="540"/>
        <w:jc w:val="both"/>
      </w:pPr>
      <w:r>
        <w:t xml:space="preserve">Определением Арбитражного суда Республики Татарстан от 05.03.2019 к участию в деле в качестве третьего лица, не заявляющего самостоятельных требований относительно предмета спора, </w:t>
      </w:r>
      <w:r>
        <w:lastRenderedPageBreak/>
        <w:t>привлечено Федеральное казенное учреждение "Управление автомобильной магистрали Невер - Якутск Федерального дорожного агентства".</w:t>
      </w:r>
    </w:p>
    <w:p w:rsidR="00FC1806" w:rsidRDefault="00FC1806">
      <w:pPr>
        <w:pStyle w:val="ConsPlusNormal"/>
        <w:spacing w:before="240"/>
        <w:ind w:firstLine="540"/>
        <w:jc w:val="both"/>
      </w:pPr>
      <w:r>
        <w:t>Решением Арбитражного суда Республики Татарстан от 24.06.2019 в удовлетворении исковых требований отказано.</w:t>
      </w:r>
    </w:p>
    <w:p w:rsidR="00FC1806" w:rsidRDefault="00FC1806">
      <w:pPr>
        <w:pStyle w:val="ConsPlusNormal"/>
        <w:spacing w:before="240"/>
        <w:ind w:firstLine="540"/>
        <w:jc w:val="both"/>
      </w:pPr>
      <w:r>
        <w:t>Не согласившись с принятым судебным актом, истец обратился в Одиннадцатый арбитражный апелляционный суд с апелляционной жалобой, в которой просит отменить обжалуемое решение, принять новый судебный акт об удовлетворении иска.</w:t>
      </w:r>
    </w:p>
    <w:p w:rsidR="00FC1806" w:rsidRDefault="00FC1806">
      <w:pPr>
        <w:pStyle w:val="ConsPlusNormal"/>
        <w:spacing w:before="240"/>
        <w:ind w:firstLine="540"/>
        <w:jc w:val="both"/>
      </w:pPr>
      <w:r>
        <w:t xml:space="preserve">Информация о принятии апелляционной жалобы к производству, движении дела, о времени и месте судебного заседания размещена арбитражным судом на официальном сайте Одиннадцатого арбитражного апелляционного суда в сети Интернет по адресу: www.11aas.arbitr.ru в соответствии с порядком, установленным </w:t>
      </w:r>
      <w:hyperlink r:id="rId6" w:history="1">
        <w:r>
          <w:rPr>
            <w:color w:val="0000FF"/>
          </w:rPr>
          <w:t>статьей 121</w:t>
        </w:r>
      </w:hyperlink>
      <w:r>
        <w:t xml:space="preserve"> Арбитражного процессуального кодекса Российской Федерации (далее - АПК РФ).</w:t>
      </w:r>
    </w:p>
    <w:p w:rsidR="00FC1806" w:rsidRDefault="00FC1806">
      <w:pPr>
        <w:pStyle w:val="ConsPlusNormal"/>
        <w:spacing w:before="240"/>
        <w:ind w:firstLine="540"/>
        <w:jc w:val="both"/>
      </w:pPr>
      <w:r>
        <w:t>В судебном заседании представитель заявителя апелляционной жалобы поддержал апелляционную жалобу по доводам, изложенным в ней.</w:t>
      </w:r>
    </w:p>
    <w:p w:rsidR="00FC1806" w:rsidRDefault="00FC1806">
      <w:pPr>
        <w:pStyle w:val="ConsPlusNormal"/>
        <w:spacing w:before="240"/>
        <w:ind w:firstLine="540"/>
        <w:jc w:val="both"/>
      </w:pPr>
      <w:r>
        <w:t>Представитель ответчика возражал против удовлетворения апелляционной жалобы по доводам, изложенным в отзыве на апелляционную жалобу.</w:t>
      </w:r>
    </w:p>
    <w:p w:rsidR="00FC1806" w:rsidRDefault="00FC1806">
      <w:pPr>
        <w:pStyle w:val="ConsPlusNormal"/>
        <w:spacing w:before="240"/>
        <w:ind w:firstLine="540"/>
        <w:jc w:val="both"/>
      </w:pPr>
      <w:proofErr w:type="gramStart"/>
      <w:r>
        <w:t xml:space="preserve">Исследовав материалы дела, изучив доводы апелляционной жалобы, проверив в соответствии со </w:t>
      </w:r>
      <w:hyperlink r:id="rId7" w:history="1">
        <w:r>
          <w:rPr>
            <w:color w:val="0000FF"/>
          </w:rPr>
          <w:t>статьями 258</w:t>
        </w:r>
      </w:hyperlink>
      <w:r>
        <w:t xml:space="preserve">, </w:t>
      </w:r>
      <w:hyperlink r:id="rId8" w:history="1">
        <w:r>
          <w:rPr>
            <w:color w:val="0000FF"/>
          </w:rPr>
          <w:t>266</w:t>
        </w:r>
      </w:hyperlink>
      <w:r>
        <w:t xml:space="preserve">, </w:t>
      </w:r>
      <w:hyperlink r:id="rId9" w:history="1">
        <w:r>
          <w:rPr>
            <w:color w:val="0000FF"/>
          </w:rPr>
          <w:t>268</w:t>
        </w:r>
      </w:hyperlink>
      <w:r>
        <w:t xml:space="preserve"> АПК РФ правомерность применения судом первой инстанции норм материального и процессуального права, соответствие выводов, содержащихся в судебном акте, установленным по делу обстоятельствам и имеющимся в деле доказательствам, Одиннадцатый арбитражный апелляционный суд пришел к выводу о наличии оснований для отмены судебного акта, принятого арбитражным судом первой</w:t>
      </w:r>
      <w:proofErr w:type="gramEnd"/>
      <w:r>
        <w:t xml:space="preserve"> инстанции.</w:t>
      </w:r>
    </w:p>
    <w:p w:rsidR="00FC1806" w:rsidRDefault="00FC1806">
      <w:pPr>
        <w:pStyle w:val="ConsPlusNormal"/>
        <w:spacing w:before="240"/>
        <w:ind w:firstLine="540"/>
        <w:jc w:val="both"/>
      </w:pPr>
      <w:r>
        <w:t>Спорные взаимоотношения сторон обусловлены заключенным 29.06.2018 межд</w:t>
      </w:r>
      <w:proofErr w:type="gramStart"/>
      <w:r>
        <w:t>у ООО</w:t>
      </w:r>
      <w:proofErr w:type="gramEnd"/>
      <w:r>
        <w:t xml:space="preserve"> КБЭР "Банк Казани" (гарант) и ООО "ДЭП N 132" (принципал) соглашением о выдаче банковской гарантии N 46/18-БГ-МБ.</w:t>
      </w:r>
    </w:p>
    <w:p w:rsidR="00FC1806" w:rsidRDefault="00FC1806">
      <w:pPr>
        <w:pStyle w:val="ConsPlusNormal"/>
        <w:spacing w:before="240"/>
        <w:ind w:firstLine="540"/>
        <w:jc w:val="both"/>
      </w:pPr>
      <w:proofErr w:type="gramStart"/>
      <w:r>
        <w:t>Согласно условиям данного соглашения банк обязался выдать безотзывную банковскую гарантию ФКУ "Управление автомобильной магистрали Невер-Якутск Федерального дорожного агентства" (далее - бенефициар) в обеспечение исполнения обязательств принципала по заключаемому с бенефициаром государственному контракту по оказанию услуг по содержанию участка автомобильной дороги общего пользования федерального значения А-360 "Лена" Невер-Якутск и искусственных сооружений на нем км 951+000 - км 1058+000, в соответствии с</w:t>
      </w:r>
      <w:proofErr w:type="gramEnd"/>
      <w:r>
        <w:t xml:space="preserve"> результатами размещения заказа путем проведения открытого аукциона в электронной форме (аукцион N 0316100007218000041 протокол проведения итогов электронного аукциона проведенного на электронной торговой площадке etp.zakazrf.ru от 18.01.2018 N 0316100007218000041-3), а принципал обязался выплатить гаранту вознаграждение в размере 5 987 360 рублей.</w:t>
      </w:r>
    </w:p>
    <w:p w:rsidR="00FC1806" w:rsidRDefault="00FC1806">
      <w:pPr>
        <w:pStyle w:val="ConsPlusNormal"/>
        <w:spacing w:before="240"/>
        <w:ind w:firstLine="540"/>
        <w:jc w:val="both"/>
      </w:pPr>
      <w:r>
        <w:t>Банк исполнил предусмотренные соглашением обязательства и выдал банковскую гарантию N 46/18-БГ-МБ от 29.06.2018 на сумму 51 173 985 рублей со сроком действия с 29.06.2018 по 31.07.2023 включительно, что подтверждается актом приема-передачи банковской гарантии от 29.06.2018.</w:t>
      </w:r>
    </w:p>
    <w:p w:rsidR="00FC1806" w:rsidRDefault="00FC1806">
      <w:pPr>
        <w:pStyle w:val="ConsPlusNormal"/>
        <w:spacing w:before="240"/>
        <w:ind w:firstLine="540"/>
        <w:jc w:val="both"/>
      </w:pPr>
      <w:r>
        <w:t>Истец в свою очередь выплатил банку вознаграждение за выдачу гарантии в сумме 5 987 360 руб., что подтверждается соответствующим платежным поручением.</w:t>
      </w:r>
    </w:p>
    <w:p w:rsidR="00FC1806" w:rsidRDefault="00FC1806">
      <w:pPr>
        <w:pStyle w:val="ConsPlusNormal"/>
        <w:spacing w:before="240"/>
        <w:ind w:firstLine="540"/>
        <w:jc w:val="both"/>
      </w:pPr>
      <w:r>
        <w:t xml:space="preserve">Соглашением от 24.10.2018 государственный контракт от 02.07.2018 N 32-18 </w:t>
      </w:r>
      <w:proofErr w:type="gramStart"/>
      <w:r>
        <w:t>был досрочно расторгнут</w:t>
      </w:r>
      <w:proofErr w:type="gramEnd"/>
      <w:r>
        <w:t xml:space="preserve"> по соглашению сторон. Фактически стороны к исполнению контракта не приступали.</w:t>
      </w:r>
    </w:p>
    <w:p w:rsidR="00FC1806" w:rsidRDefault="00FC1806">
      <w:pPr>
        <w:pStyle w:val="ConsPlusNormal"/>
        <w:spacing w:before="240"/>
        <w:ind w:firstLine="540"/>
        <w:jc w:val="both"/>
      </w:pPr>
      <w:r>
        <w:lastRenderedPageBreak/>
        <w:t>20.11.2018 ФКУ "Управление автомобильной магистрали Невер-Якутск Федерального дорожного агентства" сообщило гаранту о расторжении государственного контракта и полном освобождении в связи с этим гаранта от его обязательств по банковской гарантии.</w:t>
      </w:r>
    </w:p>
    <w:p w:rsidR="00FC1806" w:rsidRDefault="00FC1806">
      <w:pPr>
        <w:pStyle w:val="ConsPlusNormal"/>
        <w:spacing w:before="240"/>
        <w:ind w:firstLine="540"/>
        <w:jc w:val="both"/>
      </w:pPr>
      <w:r>
        <w:t xml:space="preserve">22.11.2018 ООО "ДЭП N 132" письмом N 133 также обратилось к банку с указанием на то, что действие государственного контракта прекратилось, в </w:t>
      </w:r>
      <w:proofErr w:type="gramStart"/>
      <w:r>
        <w:t>связи</w:t>
      </w:r>
      <w:proofErr w:type="gramEnd"/>
      <w:r>
        <w:t xml:space="preserve"> с чем банк полностью освобожден от обязательств по банковской гарантии. На этом основании истец просил вернуть денежные средства в сумме 5 591 208 рублей 70 копеек, полученные банком в качестве вознаграждение за выдачу гарантии.</w:t>
      </w:r>
    </w:p>
    <w:p w:rsidR="00FC1806" w:rsidRDefault="00FC1806">
      <w:pPr>
        <w:pStyle w:val="ConsPlusNormal"/>
        <w:spacing w:before="240"/>
        <w:ind w:firstLine="540"/>
        <w:jc w:val="both"/>
      </w:pPr>
      <w:r>
        <w:t>11.01.2019 истец с целью досудебного урегулирования спора обратился к ответчику с претензией, в которой просил произвести возврат денежных сре</w:t>
      </w:r>
      <w:proofErr w:type="gramStart"/>
      <w:r>
        <w:t>дств в с</w:t>
      </w:r>
      <w:proofErr w:type="gramEnd"/>
      <w:r>
        <w:t>умме 5 591 208 рублей 70 копеек.</w:t>
      </w:r>
    </w:p>
    <w:p w:rsidR="00FC1806" w:rsidRDefault="00FC1806">
      <w:pPr>
        <w:pStyle w:val="ConsPlusNormal"/>
        <w:spacing w:before="240"/>
        <w:ind w:firstLine="540"/>
        <w:jc w:val="both"/>
      </w:pPr>
      <w:r>
        <w:t xml:space="preserve">23.01.2019 ответчик письмом N А-1-402 уведомил истца о том, что в соглашении о банковской гарантии не содержатся условия возврата вознаграждения за услуги по выдаче банковской гарантии, в </w:t>
      </w:r>
      <w:proofErr w:type="gramStart"/>
      <w:r>
        <w:t>связи</w:t>
      </w:r>
      <w:proofErr w:type="gramEnd"/>
      <w:r>
        <w:t xml:space="preserve"> с чем требование о возврате части вознаграждения не подлежит удовлетворению.</w:t>
      </w:r>
    </w:p>
    <w:p w:rsidR="00FC1806" w:rsidRDefault="00FC1806">
      <w:pPr>
        <w:pStyle w:val="ConsPlusNormal"/>
        <w:spacing w:before="240"/>
        <w:ind w:firstLine="540"/>
        <w:jc w:val="both"/>
      </w:pPr>
      <w:r>
        <w:t>Указанные обстоятельства послужили основанием для обращения истца с настоящим иском в суд.</w:t>
      </w:r>
    </w:p>
    <w:p w:rsidR="00FC1806" w:rsidRDefault="00FC1806">
      <w:pPr>
        <w:pStyle w:val="ConsPlusNormal"/>
        <w:spacing w:before="240"/>
        <w:ind w:firstLine="540"/>
        <w:jc w:val="both"/>
      </w:pPr>
      <w:r>
        <w:t>Рассмотрев исковое заявление, суд первой инстанции пришел к выводу об отказе в его удовлетворении.</w:t>
      </w:r>
    </w:p>
    <w:p w:rsidR="00FC1806" w:rsidRDefault="00FC1806">
      <w:pPr>
        <w:pStyle w:val="ConsPlusNormal"/>
        <w:spacing w:before="240"/>
        <w:ind w:firstLine="540"/>
        <w:jc w:val="both"/>
      </w:pPr>
      <w:proofErr w:type="gramStart"/>
      <w:r>
        <w:t xml:space="preserve">Понятие банковской гарантии определено в </w:t>
      </w:r>
      <w:hyperlink r:id="rId10" w:history="1">
        <w:r>
          <w:rPr>
            <w:color w:val="0000FF"/>
          </w:rPr>
          <w:t>статье 368</w:t>
        </w:r>
      </w:hyperlink>
      <w:r>
        <w:t xml:space="preserve"> Гражданского кодекса Российской Федерации (далее - ГК РФ), согласно которой 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roofErr w:type="gramEnd"/>
    </w:p>
    <w:p w:rsidR="00FC1806" w:rsidRDefault="00FC1806">
      <w:pPr>
        <w:pStyle w:val="ConsPlusNormal"/>
        <w:spacing w:before="240"/>
        <w:ind w:firstLine="540"/>
        <w:jc w:val="both"/>
      </w:pPr>
      <w:proofErr w:type="gramStart"/>
      <w:r>
        <w:t xml:space="preserve">По смыслу положений </w:t>
      </w:r>
      <w:hyperlink r:id="rId11" w:history="1">
        <w:r>
          <w:rPr>
            <w:color w:val="0000FF"/>
          </w:rPr>
          <w:t>статьи 368</w:t>
        </w:r>
      </w:hyperlink>
      <w:r>
        <w:t xml:space="preserve"> ГК РФ, </w:t>
      </w:r>
      <w:hyperlink r:id="rId12" w:history="1">
        <w:r>
          <w:rPr>
            <w:color w:val="0000FF"/>
          </w:rPr>
          <w:t>пункта 8 статьи 5</w:t>
        </w:r>
      </w:hyperlink>
      <w:r>
        <w:t xml:space="preserve"> Федерального закона от 02.12.1990 N 395-1 "О банках и банковской деятельности" (далее - Закона о банках и банковской деятельности), выдача кредитной организацией банковской гарантии представляет собой банковскую операцию, то есть оказание определенного рода услуг в пользу клиента банка, за которое им выплачивается соответствующее вознаграждение в пользу банка, устанавливаемое в соответствии</w:t>
      </w:r>
      <w:proofErr w:type="gramEnd"/>
      <w:r>
        <w:t xml:space="preserve"> со </w:t>
      </w:r>
      <w:hyperlink r:id="rId13" w:history="1">
        <w:r>
          <w:rPr>
            <w:color w:val="0000FF"/>
          </w:rPr>
          <w:t>статьей 29</w:t>
        </w:r>
      </w:hyperlink>
      <w:r>
        <w:t xml:space="preserve"> Закона о банках и банковской деятельности по соглашению сторон соответствующей сделки.</w:t>
      </w:r>
    </w:p>
    <w:p w:rsidR="00FC1806" w:rsidRDefault="00FC1806">
      <w:pPr>
        <w:pStyle w:val="ConsPlusNormal"/>
        <w:spacing w:before="240"/>
        <w:ind w:firstLine="540"/>
        <w:jc w:val="both"/>
      </w:pPr>
      <w:r>
        <w:t>Статьей 369 ГК РФ предусмотрено, что банковская гарантия обеспечивает надлежащее исполнение принципалом его обязательства перед бенефициаром (основного обязательства). За выдачу банковской гарантии принципал уплачивает гаранту вознаграждение.</w:t>
      </w:r>
    </w:p>
    <w:p w:rsidR="00FC1806" w:rsidRDefault="00FC1806">
      <w:pPr>
        <w:pStyle w:val="ConsPlusNormal"/>
        <w:spacing w:before="240"/>
        <w:ind w:firstLine="540"/>
        <w:jc w:val="both"/>
      </w:pPr>
      <w:r>
        <w:t xml:space="preserve">В соответствии со </w:t>
      </w:r>
      <w:hyperlink r:id="rId14" w:history="1">
        <w:r>
          <w:rPr>
            <w:color w:val="0000FF"/>
          </w:rPr>
          <w:t>статьей 431</w:t>
        </w:r>
      </w:hyperlink>
      <w:r>
        <w:t xml:space="preserve"> ГК РФ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При этом условия договора согласовываются сторонами с учетом принципа свободы договора и в соответствии с предполагаемыми сторонами при заключении договора целями отношений, а также с учетом стабильности таких отношений и возможности планировать их развитие.</w:t>
      </w:r>
    </w:p>
    <w:p w:rsidR="00FC1806" w:rsidRDefault="00FC1806">
      <w:pPr>
        <w:pStyle w:val="ConsPlusNormal"/>
        <w:spacing w:before="240"/>
        <w:ind w:firstLine="540"/>
        <w:jc w:val="both"/>
      </w:pPr>
      <w:r>
        <w:t>Согласно пункту 13 договора срок действия гарантии устанавливается с 29.06.2018 по 31.07.2023.</w:t>
      </w:r>
    </w:p>
    <w:p w:rsidR="00FC1806" w:rsidRDefault="00FC1806">
      <w:pPr>
        <w:pStyle w:val="ConsPlusNormal"/>
        <w:spacing w:before="240"/>
        <w:ind w:firstLine="540"/>
        <w:jc w:val="both"/>
      </w:pPr>
      <w:r>
        <w:t>В соответствии с пунктом 2 договора принципал обязуется уплатить гаранту вознаграждение гаранта за выдачу гарантии в размере 5 987 360 рублей в следующем порядке и сроки: в размере 2 993 680 рублей - до выдачи гарантии; в размере 2 993 680 рублей - в срок не позднее 20.08.2018.</w:t>
      </w:r>
    </w:p>
    <w:p w:rsidR="00FC1806" w:rsidRDefault="00FC1806">
      <w:pPr>
        <w:pStyle w:val="ConsPlusNormal"/>
        <w:spacing w:before="240"/>
        <w:ind w:firstLine="540"/>
        <w:jc w:val="both"/>
      </w:pPr>
      <w:r>
        <w:t xml:space="preserve">Проанализировав содержание условий договора, с учетом позиций лиц, участвующих в деле, арбитражный суд установил, что размер вознаграждения зависит от периода фактического пользования </w:t>
      </w:r>
      <w:r>
        <w:lastRenderedPageBreak/>
        <w:t xml:space="preserve">гарантией; вознаграждение выплачивается именно за пользование банковской гарантией, а не только за факт ее выдачи, в </w:t>
      </w:r>
      <w:proofErr w:type="gramStart"/>
      <w:r>
        <w:t>связи</w:t>
      </w:r>
      <w:proofErr w:type="gramEnd"/>
      <w:r>
        <w:t xml:space="preserve"> с чем гарант вправе получить вознаграждение за время действия обязательства.</w:t>
      </w:r>
    </w:p>
    <w:p w:rsidR="00FC1806" w:rsidRDefault="00FC1806">
      <w:pPr>
        <w:pStyle w:val="ConsPlusNormal"/>
        <w:spacing w:before="240"/>
        <w:ind w:firstLine="540"/>
        <w:jc w:val="both"/>
      </w:pPr>
      <w:r>
        <w:t xml:space="preserve">Согласно </w:t>
      </w:r>
      <w:hyperlink r:id="rId15" w:history="1">
        <w:r>
          <w:rPr>
            <w:color w:val="0000FF"/>
          </w:rPr>
          <w:t>подпункту 3 пункта 1 статьи 378</w:t>
        </w:r>
      </w:hyperlink>
      <w:r>
        <w:t xml:space="preserve"> ГК РФ обязательство гаранта перед бенефициаром по гарантии прекращается вследствие отказа бенефициара от своих прав по гарантии и возвращении ее гаранту.</w:t>
      </w:r>
    </w:p>
    <w:p w:rsidR="00FC1806" w:rsidRDefault="00FC1806">
      <w:pPr>
        <w:pStyle w:val="ConsPlusNormal"/>
        <w:spacing w:before="240"/>
        <w:ind w:firstLine="540"/>
        <w:jc w:val="both"/>
      </w:pPr>
      <w:r>
        <w:t>Возврат банковской гарантии выдавшему ее гаранту свидетельствует о прекращении использования этого способа обеспечения принципалом и исключает возможность предъявления бенефициаром требования гаранту.</w:t>
      </w:r>
    </w:p>
    <w:p w:rsidR="00FC1806" w:rsidRDefault="00FC1806">
      <w:pPr>
        <w:pStyle w:val="ConsPlusNormal"/>
        <w:spacing w:before="240"/>
        <w:ind w:firstLine="540"/>
        <w:jc w:val="both"/>
      </w:pPr>
      <w:r>
        <w:t>При этом положения статьи 369 ГК РФ не дают право гаранту взимать вознаграждение за периоды, когда обязательство банка из выдачи банковской гарантии прекратило свое действие.</w:t>
      </w:r>
    </w:p>
    <w:p w:rsidR="00FC1806" w:rsidRDefault="00FC1806">
      <w:pPr>
        <w:pStyle w:val="ConsPlusNormal"/>
        <w:spacing w:before="240"/>
        <w:ind w:firstLine="540"/>
        <w:jc w:val="both"/>
      </w:pPr>
      <w:r>
        <w:t>Существенным условием гарантийного обязательства является его обеспечительная функция, в отсутствие которой банковская гарантия теряет юридическую силу.</w:t>
      </w:r>
    </w:p>
    <w:p w:rsidR="00FC1806" w:rsidRDefault="00FC1806">
      <w:pPr>
        <w:pStyle w:val="ConsPlusNormal"/>
        <w:spacing w:before="240"/>
        <w:ind w:firstLine="540"/>
        <w:jc w:val="both"/>
      </w:pPr>
      <w:proofErr w:type="gramStart"/>
      <w:r>
        <w:t>Поскольку размер комиссии за выдачу гарантии уплачен за весь срок ее действия (1859 дней), а фактически срок действия гарантии составлял 147 дней, в связи с досрочным прекращением действия гарантии у гаранта возникло обязательство по возврату денежных средств, уплаченных в счет комиссии по гарантии, поскольку правовые основания для удержания комиссионного вознаграждения за оставшийся период отсутствуют, так как отсутствует какое-либо обеспечение обязательств</w:t>
      </w:r>
      <w:proofErr w:type="gramEnd"/>
      <w:r>
        <w:t>, что противоречит основной функции банковской гарантии.</w:t>
      </w:r>
    </w:p>
    <w:p w:rsidR="00FC1806" w:rsidRDefault="00FC1806">
      <w:pPr>
        <w:pStyle w:val="ConsPlusNormal"/>
        <w:spacing w:before="240"/>
        <w:ind w:firstLine="540"/>
        <w:jc w:val="both"/>
      </w:pPr>
      <w:proofErr w:type="gramStart"/>
      <w:r>
        <w:t xml:space="preserve">В силу </w:t>
      </w:r>
      <w:hyperlink r:id="rId16" w:history="1">
        <w:r>
          <w:rPr>
            <w:color w:val="0000FF"/>
          </w:rPr>
          <w:t>статьи 8</w:t>
        </w:r>
      </w:hyperlink>
      <w:r>
        <w:t xml:space="preserve">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том числе и вследствие неосновательного обогащения.</w:t>
      </w:r>
      <w:proofErr w:type="gramEnd"/>
    </w:p>
    <w:p w:rsidR="00FC1806" w:rsidRDefault="00FC1806">
      <w:pPr>
        <w:pStyle w:val="ConsPlusNormal"/>
        <w:spacing w:before="240"/>
        <w:ind w:firstLine="540"/>
        <w:jc w:val="both"/>
      </w:pPr>
      <w:r>
        <w:t xml:space="preserve">В соответствии с </w:t>
      </w:r>
      <w:hyperlink r:id="rId17" w:history="1">
        <w:r>
          <w:rPr>
            <w:color w:val="0000FF"/>
          </w:rPr>
          <w:t>пунктом 1 статьи 1102</w:t>
        </w:r>
      </w:hyperlink>
      <w: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8" w:history="1">
        <w:r>
          <w:rPr>
            <w:color w:val="0000FF"/>
          </w:rPr>
          <w:t>статьей 1109</w:t>
        </w:r>
      </w:hyperlink>
      <w:r>
        <w:t xml:space="preserve"> данного Кодекса.</w:t>
      </w:r>
    </w:p>
    <w:p w:rsidR="00FC1806" w:rsidRDefault="00FC1806">
      <w:pPr>
        <w:pStyle w:val="ConsPlusNormal"/>
        <w:spacing w:before="240"/>
        <w:ind w:firstLine="540"/>
        <w:jc w:val="both"/>
      </w:pPr>
      <w:r>
        <w:t xml:space="preserve">Предусмотренные </w:t>
      </w:r>
      <w:hyperlink r:id="rId19" w:history="1">
        <w:r>
          <w:rPr>
            <w:color w:val="0000FF"/>
          </w:rPr>
          <w:t>главой 60</w:t>
        </w:r>
      </w:hyperlink>
      <w:r>
        <w:t xml:space="preserve"> ГК РФ правила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w:t>
      </w:r>
      <w:hyperlink r:id="rId20" w:history="1">
        <w:r>
          <w:rPr>
            <w:color w:val="0000FF"/>
          </w:rPr>
          <w:t>пункт 2 статьи 1102</w:t>
        </w:r>
      </w:hyperlink>
      <w:r>
        <w:t xml:space="preserve"> ГК РФ).</w:t>
      </w:r>
    </w:p>
    <w:p w:rsidR="00FC1806" w:rsidRDefault="00FC1806">
      <w:pPr>
        <w:pStyle w:val="ConsPlusNormal"/>
        <w:spacing w:before="240"/>
        <w:ind w:firstLine="540"/>
        <w:jc w:val="both"/>
      </w:pPr>
      <w:r>
        <w:t xml:space="preserve">Исходя из приведенных правовых норм и представленных в материалы дела доказательств, суд апелляционной инстанции приходит к выводу об отсутствии у банка оснований для удержания спорных денежных средств, в </w:t>
      </w:r>
      <w:proofErr w:type="gramStart"/>
      <w:r>
        <w:t>связи</w:t>
      </w:r>
      <w:proofErr w:type="gramEnd"/>
      <w:r>
        <w:t xml:space="preserve"> с чем требование истца о взыскании с ответчика неосновательного обогащения в размере 5 513 910 рублей 87 копеек подлежит удовлетворению.</w:t>
      </w:r>
    </w:p>
    <w:p w:rsidR="00FC1806" w:rsidRDefault="00FC1806">
      <w:pPr>
        <w:pStyle w:val="ConsPlusNormal"/>
        <w:spacing w:before="240"/>
        <w:ind w:firstLine="540"/>
        <w:jc w:val="both"/>
      </w:pPr>
      <w:r>
        <w:t xml:space="preserve">Правовая позиция о недопустимости удержания гарантом комиссионного вознаграждения за выдачу банковской гарантии в случае досрочного прекращения действия гарантии изложена в </w:t>
      </w:r>
      <w:hyperlink r:id="rId21" w:history="1">
        <w:r>
          <w:rPr>
            <w:color w:val="0000FF"/>
          </w:rPr>
          <w:t>постановлении</w:t>
        </w:r>
      </w:hyperlink>
      <w:r>
        <w:t xml:space="preserve"> Арбитражного суда Московского округа от 06.06.2019 по делу N А40-218394/2018, </w:t>
      </w:r>
      <w:hyperlink r:id="rId22" w:history="1">
        <w:r>
          <w:rPr>
            <w:color w:val="0000FF"/>
          </w:rPr>
          <w:t>постановлении</w:t>
        </w:r>
      </w:hyperlink>
      <w:r>
        <w:t xml:space="preserve"> Семнадцатого арбитражного апелляционного суда от 22.08.2018 N 17АП-9584/2018-ГКУ.</w:t>
      </w:r>
    </w:p>
    <w:p w:rsidR="00FC1806" w:rsidRDefault="00FC1806">
      <w:pPr>
        <w:pStyle w:val="ConsPlusNormal"/>
        <w:spacing w:before="240"/>
        <w:ind w:firstLine="540"/>
        <w:jc w:val="both"/>
      </w:pPr>
      <w:r>
        <w:t>На сумму неосновательного обогащения истцом начислены проценты за пользование чужими денежными средствами за период с 23.11.2018 по 17.12.2018 в размере 113 828 рублей 27 копеек.</w:t>
      </w:r>
    </w:p>
    <w:p w:rsidR="00FC1806" w:rsidRDefault="00FC1806">
      <w:pPr>
        <w:pStyle w:val="ConsPlusNormal"/>
        <w:spacing w:before="240"/>
        <w:ind w:firstLine="540"/>
        <w:jc w:val="both"/>
      </w:pPr>
      <w:r>
        <w:lastRenderedPageBreak/>
        <w:t xml:space="preserve">В соответствии с </w:t>
      </w:r>
      <w:hyperlink r:id="rId23" w:history="1">
        <w:r>
          <w:rPr>
            <w:color w:val="0000FF"/>
          </w:rPr>
          <w:t>частью 2 статьи 1107</w:t>
        </w:r>
      </w:hyperlink>
      <w:r>
        <w:t xml:space="preserve"> ГК РФ на сумму неосновательного денежного обогащения подлежат начислению проценты за пользование чужими средствами </w:t>
      </w:r>
      <w:hyperlink r:id="rId24"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FC1806" w:rsidRDefault="00FC1806">
      <w:pPr>
        <w:pStyle w:val="ConsPlusNormal"/>
        <w:spacing w:before="240"/>
        <w:ind w:firstLine="540"/>
        <w:jc w:val="both"/>
      </w:pPr>
      <w:r>
        <w:t xml:space="preserve">Согласно </w:t>
      </w:r>
      <w:hyperlink r:id="rId25" w:history="1">
        <w:r>
          <w:rPr>
            <w:color w:val="0000FF"/>
          </w:rPr>
          <w:t>пункту 1 статьи 395</w:t>
        </w:r>
      </w:hyperlink>
      <w:r>
        <w:t xml:space="preserve">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FC1806" w:rsidRDefault="00FC1806">
      <w:pPr>
        <w:pStyle w:val="ConsPlusNormal"/>
        <w:spacing w:before="240"/>
        <w:ind w:firstLine="540"/>
        <w:jc w:val="both"/>
      </w:pPr>
      <w:r>
        <w:t>Произведенный истцом расчет процентов признан судом апелляционной инстанции правильным.</w:t>
      </w:r>
    </w:p>
    <w:p w:rsidR="00FC1806" w:rsidRDefault="00FC1806">
      <w:pPr>
        <w:pStyle w:val="ConsPlusNormal"/>
        <w:spacing w:before="240"/>
        <w:ind w:firstLine="540"/>
        <w:jc w:val="both"/>
      </w:pPr>
      <w:r>
        <w:t>На основании изложенного, требование истца о взыскании процентов за пользование чужими денежными средствами за период с 23.11.2018 по 17.12.2018 в размере 113 828 рублей 27 копеек также подлежит удовлетворению.</w:t>
      </w:r>
    </w:p>
    <w:p w:rsidR="00FC1806" w:rsidRDefault="00FC1806">
      <w:pPr>
        <w:pStyle w:val="ConsPlusNormal"/>
        <w:spacing w:before="240"/>
        <w:ind w:firstLine="540"/>
        <w:jc w:val="both"/>
      </w:pPr>
      <w:r>
        <w:t xml:space="preserve">На основании вышеизложенного решение суда первой инстанции в силу </w:t>
      </w:r>
      <w:hyperlink r:id="rId26" w:history="1">
        <w:r>
          <w:rPr>
            <w:color w:val="0000FF"/>
          </w:rPr>
          <w:t>пункта 4 части 1 статьи 270</w:t>
        </w:r>
      </w:hyperlink>
      <w:r>
        <w:t xml:space="preserve"> АПК РФ следует отменить, как вынесенное при неправильном применении норм материального права, с принятием нового судебного акта об удовлетворении иска.</w:t>
      </w:r>
    </w:p>
    <w:p w:rsidR="00FC1806" w:rsidRDefault="00FC1806">
      <w:pPr>
        <w:pStyle w:val="ConsPlusNormal"/>
        <w:spacing w:before="240"/>
        <w:ind w:firstLine="540"/>
        <w:jc w:val="both"/>
      </w:pPr>
      <w:r>
        <w:t xml:space="preserve">В связи с удовлетворением иска расходы по госпошлине по иску относятся на ответчика и подлежат взысканию с него в пользу истца в сумме 51 139 рублей. При этом излишне оплаченная истцом при предъявлении иска государственная пошлина в сумме 435 рублей должна быть возвращена из бюджета ее плательщику на основании </w:t>
      </w:r>
      <w:hyperlink r:id="rId27" w:history="1">
        <w:r>
          <w:rPr>
            <w:color w:val="0000FF"/>
          </w:rPr>
          <w:t>статьи 333.40</w:t>
        </w:r>
      </w:hyperlink>
      <w:r>
        <w:t xml:space="preserve"> Налогового кодекса Российской Федерации.</w:t>
      </w:r>
    </w:p>
    <w:p w:rsidR="00FC1806" w:rsidRDefault="00FC1806">
      <w:pPr>
        <w:pStyle w:val="ConsPlusNormal"/>
        <w:spacing w:before="240"/>
        <w:ind w:firstLine="540"/>
        <w:jc w:val="both"/>
      </w:pPr>
      <w:r>
        <w:t xml:space="preserve">В соответствии со </w:t>
      </w:r>
      <w:hyperlink r:id="rId28" w:history="1">
        <w:r>
          <w:rPr>
            <w:color w:val="0000FF"/>
          </w:rPr>
          <w:t>статьей 110</w:t>
        </w:r>
      </w:hyperlink>
      <w:r>
        <w:t xml:space="preserve"> АПК РФ ввиду удовлетворения апелляционной жалобы расходы истца по госпошлине за ее рассмотрение в размере 3 000 рублей также относятся на ответчика и подлежат взысканию с него в пользу заявителя апелляционной жалобы.</w:t>
      </w:r>
    </w:p>
    <w:p w:rsidR="00FC1806" w:rsidRDefault="00FC1806">
      <w:pPr>
        <w:pStyle w:val="ConsPlusNormal"/>
        <w:spacing w:before="240"/>
        <w:ind w:firstLine="540"/>
        <w:jc w:val="both"/>
      </w:pPr>
      <w:r>
        <w:t>В процессе рассмотрения дела в суде первой инстанции истцом было заявлено ходатайство о возмещении за счет ответчика понесенных судебных расходов на оплату услуг представителя в сумме 87 000 рублей. В подтверждение понесения судебных расходов истцом в материалы дела представлен заключенный с гр. Антоновым Вячеславом Владимировичем договор на оказание юридических услуг от 11.02.2019 и платежное поручение N 343 от 01.04.2019 на оплату вознаграждения за оказанные юридические услуги.</w:t>
      </w:r>
    </w:p>
    <w:p w:rsidR="00FC1806" w:rsidRDefault="00FC1806">
      <w:pPr>
        <w:pStyle w:val="ConsPlusNormal"/>
        <w:spacing w:before="240"/>
        <w:ind w:firstLine="540"/>
        <w:jc w:val="both"/>
      </w:pPr>
      <w:r>
        <w:t xml:space="preserve">Состав и порядок взыскания судебных расходов регламентированы положениями </w:t>
      </w:r>
      <w:hyperlink r:id="rId29" w:history="1">
        <w:r>
          <w:rPr>
            <w:color w:val="0000FF"/>
          </w:rPr>
          <w:t>главы 9</w:t>
        </w:r>
      </w:hyperlink>
      <w:r>
        <w:t xml:space="preserve"> АПК РФ.</w:t>
      </w:r>
    </w:p>
    <w:p w:rsidR="00FC1806" w:rsidRDefault="00FC1806">
      <w:pPr>
        <w:pStyle w:val="ConsPlusNormal"/>
        <w:spacing w:before="240"/>
        <w:ind w:firstLine="540"/>
        <w:jc w:val="both"/>
      </w:pPr>
      <w:r>
        <w:t xml:space="preserve">В соответствии со </w:t>
      </w:r>
      <w:hyperlink r:id="rId30" w:history="1">
        <w:r>
          <w:rPr>
            <w:color w:val="0000FF"/>
          </w:rPr>
          <w:t>статьей 101</w:t>
        </w:r>
      </w:hyperlink>
      <w:r>
        <w:t xml:space="preserve"> АПК РФ судебные расходы состоят из государственной пошлины и судебных издержек, связанных с рассмотрением дела арбитражным судом.</w:t>
      </w:r>
    </w:p>
    <w:p w:rsidR="00FC1806" w:rsidRDefault="00FC1806">
      <w:pPr>
        <w:pStyle w:val="ConsPlusNormal"/>
        <w:spacing w:before="240"/>
        <w:ind w:firstLine="540"/>
        <w:jc w:val="both"/>
      </w:pPr>
      <w:r>
        <w:t xml:space="preserve">В силу </w:t>
      </w:r>
      <w:hyperlink r:id="rId31" w:history="1">
        <w:r>
          <w:rPr>
            <w:color w:val="0000FF"/>
          </w:rPr>
          <w:t>статьи 106</w:t>
        </w:r>
      </w:hyperlink>
      <w:r>
        <w:t xml:space="preserve"> АПК РФ к судебным издержкам, связанным с рассмотрением дела в арбитражном суде, относятся, в частности, расходы на оплату услуг адвокатов и иных лиц, оказывающих юридическую помощь (представителей) в связи с рассмотрением дела в арбитражном суде.</w:t>
      </w:r>
    </w:p>
    <w:p w:rsidR="00FC1806" w:rsidRDefault="00FC1806">
      <w:pPr>
        <w:pStyle w:val="ConsPlusNormal"/>
        <w:spacing w:before="240"/>
        <w:ind w:firstLine="540"/>
        <w:jc w:val="both"/>
      </w:pPr>
      <w:r>
        <w:t xml:space="preserve">Порядок распределения судебных расходов предусмотрен </w:t>
      </w:r>
      <w:hyperlink r:id="rId32" w:history="1">
        <w:r>
          <w:rPr>
            <w:color w:val="0000FF"/>
          </w:rPr>
          <w:t>статьей 110</w:t>
        </w:r>
      </w:hyperlink>
      <w:r>
        <w:t xml:space="preserve"> названного Кодекса, согласно которой судебные расходы, понесенные лицами, участвующими в деле, в пользу которых принят судебный акт, взыскиваются арбитражным судом со стороны.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sidR="00FC1806" w:rsidRDefault="00FC1806">
      <w:pPr>
        <w:pStyle w:val="ConsPlusNormal"/>
        <w:spacing w:before="240"/>
        <w:ind w:firstLine="540"/>
        <w:jc w:val="both"/>
      </w:pPr>
      <w:hyperlink r:id="rId33" w:history="1">
        <w:proofErr w:type="gramStart"/>
        <w:r>
          <w:rPr>
            <w:color w:val="0000FF"/>
          </w:rPr>
          <w:t>Пунктом 10</w:t>
        </w:r>
      </w:hyperlink>
      <w:r>
        <w:t xml:space="preserve"> постановления Пленума Верховного Суда Российской Федерации от 21.01.2016 N 1 "О некоторых вопросах применения законодательства о возмещении издержек, связанных с рассмотрением дела" предусмотрено, что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proofErr w:type="gramEnd"/>
    </w:p>
    <w:p w:rsidR="00FC1806" w:rsidRDefault="00FC1806">
      <w:pPr>
        <w:pStyle w:val="ConsPlusNormal"/>
        <w:spacing w:before="240"/>
        <w:ind w:firstLine="540"/>
        <w:jc w:val="both"/>
      </w:pPr>
      <w:r>
        <w:t xml:space="preserve">Согласно </w:t>
      </w:r>
      <w:hyperlink r:id="rId34" w:history="1">
        <w:r>
          <w:rPr>
            <w:color w:val="0000FF"/>
          </w:rPr>
          <w:t>пункту 11</w:t>
        </w:r>
      </w:hyperlink>
      <w:r>
        <w:t xml:space="preserve"> данного постановления,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rsidR="00FC1806" w:rsidRDefault="00FC1806">
      <w:pPr>
        <w:pStyle w:val="ConsPlusNormal"/>
        <w:spacing w:before="240"/>
        <w:ind w:firstLine="540"/>
        <w:jc w:val="both"/>
      </w:pPr>
      <w:r>
        <w:t xml:space="preserve">В силу </w:t>
      </w:r>
      <w:hyperlink r:id="rId35" w:history="1">
        <w:r>
          <w:rPr>
            <w:color w:val="0000FF"/>
          </w:rPr>
          <w:t>пункта 13</w:t>
        </w:r>
      </w:hyperlink>
      <w:r>
        <w:t xml:space="preserve"> указанного постановления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FC1806" w:rsidRDefault="00FC1806">
      <w:pPr>
        <w:pStyle w:val="ConsPlusNormal"/>
        <w:spacing w:before="240"/>
        <w:ind w:firstLine="540"/>
        <w:jc w:val="both"/>
      </w:pPr>
      <w:r>
        <w:t>По смыслу норм процессуального права, регулирующих вопросы распределения судебных расходов, лицо, требующее возмещения расходов на оплату услуг представителя, доказывает их размер и факт выплаты, а другая сторона вправе доказать их чрезмерность с обоснованием, какая сумма расходов по аналогичной категории дел является разумной.</w:t>
      </w:r>
    </w:p>
    <w:p w:rsidR="00FC1806" w:rsidRDefault="00FC1806">
      <w:pPr>
        <w:pStyle w:val="ConsPlusNormal"/>
        <w:spacing w:before="240"/>
        <w:ind w:firstLine="540"/>
        <w:jc w:val="both"/>
      </w:pPr>
      <w:r>
        <w:t xml:space="preserve">Исследовав и оценив в порядке </w:t>
      </w:r>
      <w:hyperlink r:id="rId36" w:history="1">
        <w:r>
          <w:rPr>
            <w:color w:val="0000FF"/>
          </w:rPr>
          <w:t>статьи 71</w:t>
        </w:r>
      </w:hyperlink>
      <w:r>
        <w:t xml:space="preserve"> АПК </w:t>
      </w:r>
      <w:proofErr w:type="gramStart"/>
      <w:r>
        <w:t>РФ</w:t>
      </w:r>
      <w:proofErr w:type="gramEnd"/>
      <w:r>
        <w:t xml:space="preserve"> представленные в материалы дела в подтверждение факта несения и размера судебных расходов доказательства в их совокупности и взаимосвязи, принимая во внимание характер спора, в процессе разрешения которого истцу оказаны соответствующие юридические и представительские услуги, существо заявленных требований, характер оказанных услуг, объем и качество совершенных представителем истца процессуальных действий, апелляционный суд приходит </w:t>
      </w:r>
      <w:proofErr w:type="gramStart"/>
      <w:r>
        <w:t>к выводу о наличии на стороне ответчика обязанности по возмещению понесенных истцом судебных расходов в заявленном размере</w:t>
      </w:r>
      <w:proofErr w:type="gramEnd"/>
      <w:r>
        <w:t>.</w:t>
      </w:r>
    </w:p>
    <w:p w:rsidR="00FC1806" w:rsidRDefault="00FC1806">
      <w:pPr>
        <w:pStyle w:val="ConsPlusNormal"/>
        <w:spacing w:before="240"/>
        <w:ind w:firstLine="540"/>
        <w:jc w:val="both"/>
      </w:pPr>
      <w:r>
        <w:t>При этом суд учитывает, что о чрезмерности понесенных истцом судебных расходов на оплату услуг представителя ответчик не заявил.</w:t>
      </w:r>
    </w:p>
    <w:p w:rsidR="00FC1806" w:rsidRDefault="00FC1806">
      <w:pPr>
        <w:pStyle w:val="ConsPlusNormal"/>
        <w:spacing w:before="240"/>
        <w:ind w:firstLine="540"/>
        <w:jc w:val="both"/>
      </w:pPr>
      <w:r>
        <w:t xml:space="preserve">Руководствуясь </w:t>
      </w:r>
      <w:hyperlink r:id="rId37" w:history="1">
        <w:r>
          <w:rPr>
            <w:color w:val="0000FF"/>
          </w:rPr>
          <w:t>статьями 266</w:t>
        </w:r>
      </w:hyperlink>
      <w:r>
        <w:t xml:space="preserve"> - </w:t>
      </w:r>
      <w:hyperlink r:id="rId38" w:history="1">
        <w:r>
          <w:rPr>
            <w:color w:val="0000FF"/>
          </w:rPr>
          <w:t>271</w:t>
        </w:r>
      </w:hyperlink>
      <w:r>
        <w:t xml:space="preserve"> Арбитражного процессуального кодекса Российской Федерации, Одиннадцатый арбитражный апелляционный суд</w:t>
      </w:r>
    </w:p>
    <w:p w:rsidR="00FC1806" w:rsidRDefault="00FC1806">
      <w:pPr>
        <w:pStyle w:val="ConsPlusNormal"/>
        <w:jc w:val="both"/>
      </w:pPr>
    </w:p>
    <w:p w:rsidR="00FC1806" w:rsidRDefault="00FC1806">
      <w:pPr>
        <w:pStyle w:val="ConsPlusNormal"/>
        <w:jc w:val="center"/>
      </w:pPr>
      <w:r>
        <w:t>постановил:</w:t>
      </w:r>
    </w:p>
    <w:p w:rsidR="00FC1806" w:rsidRDefault="00FC1806">
      <w:pPr>
        <w:pStyle w:val="ConsPlusNormal"/>
        <w:jc w:val="both"/>
      </w:pPr>
    </w:p>
    <w:p w:rsidR="00FC1806" w:rsidRDefault="00FC1806">
      <w:pPr>
        <w:pStyle w:val="ConsPlusNormal"/>
        <w:ind w:firstLine="540"/>
        <w:jc w:val="both"/>
      </w:pPr>
      <w:r>
        <w:t>апелляционную жалобу общества с ограниченной ответственностью "Дорожное эксплуатационное предприятие N 132" удовлетворить.</w:t>
      </w:r>
    </w:p>
    <w:p w:rsidR="00FC1806" w:rsidRDefault="00FC1806">
      <w:pPr>
        <w:pStyle w:val="ConsPlusNormal"/>
        <w:spacing w:before="240"/>
        <w:ind w:firstLine="540"/>
        <w:jc w:val="both"/>
      </w:pPr>
      <w:r>
        <w:t>Решение Арбитражного суда Республик Татарстан от 24.06.2019 по делу N А65-5105/2019 отменить.</w:t>
      </w:r>
    </w:p>
    <w:p w:rsidR="00FC1806" w:rsidRDefault="00FC1806">
      <w:pPr>
        <w:pStyle w:val="ConsPlusNormal"/>
        <w:spacing w:before="240"/>
        <w:ind w:firstLine="540"/>
        <w:jc w:val="both"/>
      </w:pPr>
      <w:r>
        <w:t>Исковые требования удовлетворить.</w:t>
      </w:r>
    </w:p>
    <w:p w:rsidR="00FC1806" w:rsidRDefault="00FC1806">
      <w:pPr>
        <w:pStyle w:val="ConsPlusNormal"/>
        <w:spacing w:before="240"/>
        <w:ind w:firstLine="540"/>
        <w:jc w:val="both"/>
      </w:pPr>
      <w:proofErr w:type="gramStart"/>
      <w:r>
        <w:t>Взыскать с общества с ограниченной ответственностью Коммерческий банк экономического развития "Банк Казани" (ОГРН 1021600000014, ИНН 1653018661) в пользу общества с ограниченной ответственностью "Дорожное эксплуатационное предприятие N 132" (ОГРН 1154910001234, ИНН 4909122250) неосновательное обогащение в размере 5 513 910 рублей 87 копеек, проценты за пользование чужими денежными средствами в размере 113 828 рублей 27 копеек, в возмещение расходов по оплате услуг</w:t>
      </w:r>
      <w:proofErr w:type="gramEnd"/>
      <w:r>
        <w:t xml:space="preserve"> представителя 87 000 рублей и расходов на оплату государственной пошлины по иску 51 139 (Пятьдесят одна тысяча сто тридцать девять) рублей и по апелляционной жалобе 3 000 (Три тысячи) рублей.</w:t>
      </w:r>
    </w:p>
    <w:p w:rsidR="00FC1806" w:rsidRDefault="00FC1806">
      <w:pPr>
        <w:pStyle w:val="ConsPlusNormal"/>
        <w:spacing w:before="240"/>
        <w:ind w:firstLine="540"/>
        <w:jc w:val="both"/>
      </w:pPr>
      <w:r>
        <w:lastRenderedPageBreak/>
        <w:t>Возвратить обществу с ограниченной ответственностью "Дорожное эксплуатационное предприятие N 132" из федерального бюджета излишне уплаченную госпошлину в сумме 435 (Четыреста тридцать пять) рублей.</w:t>
      </w:r>
    </w:p>
    <w:p w:rsidR="00FC1806" w:rsidRDefault="00FC1806">
      <w:pPr>
        <w:pStyle w:val="ConsPlusNormal"/>
        <w:spacing w:before="240"/>
        <w:ind w:firstLine="540"/>
        <w:jc w:val="both"/>
      </w:pPr>
      <w:r>
        <w:t xml:space="preserve">Постановление вступает в законную силу со дня его принятия и может быть </w:t>
      </w:r>
      <w:hyperlink r:id="rId39" w:history="1">
        <w:r>
          <w:rPr>
            <w:color w:val="0000FF"/>
          </w:rPr>
          <w:t>обжаловано</w:t>
        </w:r>
      </w:hyperlink>
      <w:r>
        <w:t xml:space="preserve"> в срок, не превышающий двух месяцев, в Арбитражный суд Поволжского округа.</w:t>
      </w:r>
    </w:p>
    <w:p w:rsidR="00FC1806" w:rsidRDefault="00FC1806">
      <w:pPr>
        <w:pStyle w:val="ConsPlusNormal"/>
        <w:jc w:val="both"/>
      </w:pPr>
    </w:p>
    <w:p w:rsidR="00FC1806" w:rsidRDefault="00FC1806">
      <w:pPr>
        <w:pStyle w:val="ConsPlusNormal"/>
        <w:jc w:val="right"/>
      </w:pPr>
      <w:r>
        <w:t>Председательствующий</w:t>
      </w:r>
    </w:p>
    <w:p w:rsidR="00FC1806" w:rsidRDefault="00FC1806">
      <w:pPr>
        <w:pStyle w:val="ConsPlusNormal"/>
        <w:jc w:val="right"/>
      </w:pPr>
      <w:r>
        <w:t>Н.Р.САФАЕВА</w:t>
      </w:r>
    </w:p>
    <w:p w:rsidR="00FC1806" w:rsidRDefault="00FC1806">
      <w:pPr>
        <w:pStyle w:val="ConsPlusNormal"/>
        <w:jc w:val="both"/>
      </w:pPr>
    </w:p>
    <w:p w:rsidR="00FC1806" w:rsidRDefault="00FC1806">
      <w:pPr>
        <w:pStyle w:val="ConsPlusNormal"/>
        <w:jc w:val="right"/>
      </w:pPr>
      <w:r>
        <w:t>Судьи</w:t>
      </w:r>
    </w:p>
    <w:p w:rsidR="00FC1806" w:rsidRDefault="00FC1806">
      <w:pPr>
        <w:pStyle w:val="ConsPlusNormal"/>
        <w:jc w:val="right"/>
      </w:pPr>
      <w:r>
        <w:t>Е.В.КОРШИКОВА</w:t>
      </w:r>
    </w:p>
    <w:p w:rsidR="00FC1806" w:rsidRDefault="00FC1806">
      <w:pPr>
        <w:pStyle w:val="ConsPlusNormal"/>
        <w:jc w:val="right"/>
      </w:pPr>
      <w:r>
        <w:t>С.Ю.НИКОЛАЕВА</w:t>
      </w:r>
    </w:p>
    <w:p w:rsidR="00FC1806" w:rsidRDefault="00FC1806">
      <w:pPr>
        <w:pStyle w:val="ConsPlusNormal"/>
        <w:jc w:val="both"/>
      </w:pPr>
    </w:p>
    <w:p w:rsidR="00FC1806" w:rsidRDefault="00FC1806">
      <w:pPr>
        <w:pStyle w:val="ConsPlusNormal"/>
        <w:jc w:val="both"/>
      </w:pPr>
    </w:p>
    <w:p w:rsidR="00FC1806" w:rsidRDefault="00FC1806">
      <w:pPr>
        <w:pStyle w:val="ConsPlusNormal"/>
        <w:pBdr>
          <w:top w:val="single" w:sz="6" w:space="0" w:color="auto"/>
        </w:pBdr>
        <w:spacing w:before="100" w:after="100"/>
        <w:jc w:val="both"/>
        <w:rPr>
          <w:sz w:val="2"/>
          <w:szCs w:val="2"/>
        </w:rPr>
      </w:pPr>
    </w:p>
    <w:p w:rsidR="001552FE" w:rsidRDefault="00FC1806"/>
    <w:sectPr w:rsidR="001552FE" w:rsidSect="0072434E">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06"/>
    <w:rsid w:val="00321B45"/>
    <w:rsid w:val="0048677B"/>
    <w:rsid w:val="00536E16"/>
    <w:rsid w:val="005C5D8E"/>
    <w:rsid w:val="00852EFF"/>
    <w:rsid w:val="00957F33"/>
    <w:rsid w:val="00963F56"/>
    <w:rsid w:val="009B3926"/>
    <w:rsid w:val="00CA5555"/>
    <w:rsid w:val="00CF6166"/>
    <w:rsid w:val="00D255F1"/>
    <w:rsid w:val="00D744B8"/>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80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FC180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FC180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80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FC180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FC18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292B4A634AFA05372C1E7D29F5B861C8757272616384CDA5A9AA0359CFB381D91A6DEB70943056D07F0BEC34F6BD93833F93CD364A48EAxAO8K" TargetMode="External"/><Relationship Id="rId13" Type="http://schemas.openxmlformats.org/officeDocument/2006/relationships/hyperlink" Target="consultantplus://offline/ref=1A292B4A634AFA05372C1E7D29F5B861C8767075646F84CDA5A9AA0359CFB381D91A6DEB70953455D17F0BEC34F6BD93833F93CD364A48EAxAO8K" TargetMode="External"/><Relationship Id="rId18" Type="http://schemas.openxmlformats.org/officeDocument/2006/relationships/hyperlink" Target="consultantplus://offline/ref=1A292B4A634AFA05372C1E7D29F5B861C874767E646484CDA5A9AA0359CFB381D91A6DEB7097305CD57F0BEC34F6BD93833F93CD364A48EAxAO8K" TargetMode="External"/><Relationship Id="rId26" Type="http://schemas.openxmlformats.org/officeDocument/2006/relationships/hyperlink" Target="consultantplus://offline/ref=1A292B4A634AFA05372C1E7D29F5B861C8757272616384CDA5A9AA0359CFB381D91A6DEB70943053D77F0BEC34F6BD93833F93CD364A48EAxAO8K" TargetMode="External"/><Relationship Id="rId39" Type="http://schemas.openxmlformats.org/officeDocument/2006/relationships/hyperlink" Target="consultantplus://offline/ref=1A292B4A634AFA05372C136C28F5B861CA7C7673696784CDA5A9AA0359CFB381CB1A35E770942955D56A5DBD72xAO2K" TargetMode="External"/><Relationship Id="rId3" Type="http://schemas.openxmlformats.org/officeDocument/2006/relationships/settings" Target="settings.xml"/><Relationship Id="rId21" Type="http://schemas.openxmlformats.org/officeDocument/2006/relationships/hyperlink" Target="consultantplus://offline/ref=1A292B4A634AFA05372C13712DF5B861C8767576646084CDA5A9AA0359CFB381CB1A35E770942955D56A5DBD72xAO2K" TargetMode="External"/><Relationship Id="rId34" Type="http://schemas.openxmlformats.org/officeDocument/2006/relationships/hyperlink" Target="consultantplus://offline/ref=1A292B4A634AFA05372C1E7D29F5B861CA7D7276646384CDA5A9AA0359CFB381D91A6DEB70953757D47F0BEC34F6BD93833F93CD364A48EAxAO8K" TargetMode="External"/><Relationship Id="rId7" Type="http://schemas.openxmlformats.org/officeDocument/2006/relationships/hyperlink" Target="consultantplus://offline/ref=1A292B4A634AFA05372C1E7D29F5B861C8757272616384CDA5A9AA0359CFB381D91A6DEB70943152D57F0BEC34F6BD93833F93CD364A48EAxAO8K" TargetMode="External"/><Relationship Id="rId12" Type="http://schemas.openxmlformats.org/officeDocument/2006/relationships/hyperlink" Target="consultantplus://offline/ref=1A292B4A634AFA05372C1E7D29F5B861C8767075646F84CDA5A9AA0359CFB381D91A6DEB70953756D07F0BEC34F6BD93833F93CD364A48EAxAO8K" TargetMode="External"/><Relationship Id="rId17" Type="http://schemas.openxmlformats.org/officeDocument/2006/relationships/hyperlink" Target="consultantplus://offline/ref=1A292B4A634AFA05372C1E7D29F5B861C874767E646484CDA5A9AA0359CFB381D91A6DEB70973052D47F0BEC34F6BD93833F93CD364A48EAxAO8K" TargetMode="External"/><Relationship Id="rId25" Type="http://schemas.openxmlformats.org/officeDocument/2006/relationships/hyperlink" Target="consultantplus://offline/ref=1A292B4A634AFA05372C1E7D29F5B861C8757473666E84CDA5A9AA0359CFB381D91A6DEB709C345DDD200EF925AEB0929C2190D02A484AxEO9K" TargetMode="External"/><Relationship Id="rId33" Type="http://schemas.openxmlformats.org/officeDocument/2006/relationships/hyperlink" Target="consultantplus://offline/ref=1A292B4A634AFA05372C1E7D29F5B861CA7D7276646384CDA5A9AA0359CFB381D91A6DEB70953757D77F0BEC34F6BD93833F93CD364A48EAxAO8K" TargetMode="External"/><Relationship Id="rId38" Type="http://schemas.openxmlformats.org/officeDocument/2006/relationships/hyperlink" Target="consultantplus://offline/ref=1A292B4A634AFA05372C1E7D29F5B861C8757272616384CDA5A9AA0359CFB381D91A6DEB70943052D07F0BEC34F6BD93833F93CD364A48EAxAO8K" TargetMode="External"/><Relationship Id="rId2" Type="http://schemas.microsoft.com/office/2007/relationships/stylesWithEffects" Target="stylesWithEffects.xml"/><Relationship Id="rId16" Type="http://schemas.openxmlformats.org/officeDocument/2006/relationships/hyperlink" Target="consultantplus://offline/ref=1A292B4A634AFA05372C1E7D29F5B861C8757473666E84CDA5A9AA0359CFB381D91A6DEB70953751D17F0BEC34F6BD93833F93CD364A48EAxAO8K" TargetMode="External"/><Relationship Id="rId20" Type="http://schemas.openxmlformats.org/officeDocument/2006/relationships/hyperlink" Target="consultantplus://offline/ref=1A292B4A634AFA05372C1E7D29F5B861C874767E646484CDA5A9AA0359CFB381D91A6DEB70973052D57F0BEC34F6BD93833F93CD364A48EAxAO8K" TargetMode="External"/><Relationship Id="rId29" Type="http://schemas.openxmlformats.org/officeDocument/2006/relationships/hyperlink" Target="consultantplus://offline/ref=1A292B4A634AFA05372C1E7D29F5B861C8757272616384CDA5A9AA0359CFB381D91A6DEB70953157D57F0BEC34F6BD93833F93CD364A48EAxAO8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A292B4A634AFA05372C1E7D29F5B861C8757272616384CDA5A9AA0359CFB381D91A6DEB70953057DF7F0BEC34F6BD93833F93CD364A48EAxAO8K" TargetMode="External"/><Relationship Id="rId11" Type="http://schemas.openxmlformats.org/officeDocument/2006/relationships/hyperlink" Target="consultantplus://offline/ref=1A292B4A634AFA05372C1E7D29F5B861C8757473666E84CDA5A9AA0359CFB381D91A6DEB70933753DD200EF925AEB0929C2190D02A484AxEO9K" TargetMode="External"/><Relationship Id="rId24" Type="http://schemas.openxmlformats.org/officeDocument/2006/relationships/hyperlink" Target="consultantplus://offline/ref=1A292B4A634AFA05372C1E7D29F5B861C8757473666E84CDA5A9AA0359CFB381D91A6DEB70943F5CD17F0BEC34F6BD93833F93CD364A48EAxAO8K" TargetMode="External"/><Relationship Id="rId32" Type="http://schemas.openxmlformats.org/officeDocument/2006/relationships/hyperlink" Target="consultantplus://offline/ref=1A292B4A634AFA05372C1E7D29F5B861C8757272616384CDA5A9AA0359CFB381D91A6DEB70953153D07F0BEC34F6BD93833F93CD364A48EAxAO8K" TargetMode="External"/><Relationship Id="rId37" Type="http://schemas.openxmlformats.org/officeDocument/2006/relationships/hyperlink" Target="consultantplus://offline/ref=1A292B4A634AFA05372C1E7D29F5B861C8757272616384CDA5A9AA0359CFB381D91A6DEB70943056D07F0BEC34F6BD93833F93CD364A48EAxAO8K"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A292B4A634AFA05372C1E7D29F5B861C8757473666E84CDA5A9AA0359CFB381D91A6DEB70933157DD200EF925AEB0929C2190D02A484AxEO9K" TargetMode="External"/><Relationship Id="rId23" Type="http://schemas.openxmlformats.org/officeDocument/2006/relationships/hyperlink" Target="consultantplus://offline/ref=1A292B4A634AFA05372C1E7D29F5B861C874767E646484CDA5A9AA0359CFB381D91A6DEB7097305CD67F0BEC34F6BD93833F93CD364A48EAxAO8K" TargetMode="External"/><Relationship Id="rId28" Type="http://schemas.openxmlformats.org/officeDocument/2006/relationships/hyperlink" Target="consultantplus://offline/ref=1A292B4A634AFA05372C1E7D29F5B861C8757272616384CDA5A9AA0359CFB381D91A6DEB70953153D07F0BEC34F6BD93833F93CD364A48EAxAO8K" TargetMode="External"/><Relationship Id="rId36" Type="http://schemas.openxmlformats.org/officeDocument/2006/relationships/hyperlink" Target="consultantplus://offline/ref=1A292B4A634AFA05372C1E7D29F5B861C8757272616384CDA5A9AA0359CFB381D91A6DEB70953354DF7F0BEC34F6BD93833F93CD364A48EAxAO8K" TargetMode="External"/><Relationship Id="rId10" Type="http://schemas.openxmlformats.org/officeDocument/2006/relationships/hyperlink" Target="consultantplus://offline/ref=1A292B4A634AFA05372C1E7D29F5B861C8757473666E84CDA5A9AA0359CFB381D91A6DEB70933753DD200EF925AEB0929C2190D02A484AxEO9K" TargetMode="External"/><Relationship Id="rId19" Type="http://schemas.openxmlformats.org/officeDocument/2006/relationships/hyperlink" Target="consultantplus://offline/ref=1A292B4A634AFA05372C1E7D29F5B861C874767E646484CDA5A9AA0359CFB381D91A6DEB70973052D67F0BEC34F6BD93833F93CD364A48EAxAO8K" TargetMode="External"/><Relationship Id="rId31" Type="http://schemas.openxmlformats.org/officeDocument/2006/relationships/hyperlink" Target="consultantplus://offline/ref=1A292B4A634AFA05372C1E7D29F5B861C8757272616384CDA5A9AA0359CFB381D91A6DEB70953151DF7F0BEC34F6BD93833F93CD364A48EAxAO8K" TargetMode="External"/><Relationship Id="rId4" Type="http://schemas.openxmlformats.org/officeDocument/2006/relationships/webSettings" Target="webSettings.xml"/><Relationship Id="rId9" Type="http://schemas.openxmlformats.org/officeDocument/2006/relationships/hyperlink" Target="consultantplus://offline/ref=1A292B4A634AFA05372C1E7D29F5B861C8757272616384CDA5A9AA0359CFB381D91A6DEB70943051D47F0BEC34F6BD93833F93CD364A48EAxAO8K" TargetMode="External"/><Relationship Id="rId14" Type="http://schemas.openxmlformats.org/officeDocument/2006/relationships/hyperlink" Target="consultantplus://offline/ref=1A292B4A634AFA05372C1E7D29F5B861C8757473666E84CDA5A9AA0359CFB381D91A6DEB70973751D27F0BEC34F6BD93833F93CD364A48EAxAO8K" TargetMode="External"/><Relationship Id="rId22" Type="http://schemas.openxmlformats.org/officeDocument/2006/relationships/hyperlink" Target="consultantplus://offline/ref=1A292B4A634AFA05372C007D2E9DE66DCC7F287B606E8692FBFCAC54069FB5D4995A6BBE21D16258D67541BD73BDB29380x2O0K" TargetMode="External"/><Relationship Id="rId27" Type="http://schemas.openxmlformats.org/officeDocument/2006/relationships/hyperlink" Target="consultantplus://offline/ref=1A292B4A634AFA05372C1E7D29F5B861C8767E72636584CDA5A9AA0359CFB381D91A6DEB7397375E82251BE87DA3B18D82228DCC284Ax4O9K" TargetMode="External"/><Relationship Id="rId30" Type="http://schemas.openxmlformats.org/officeDocument/2006/relationships/hyperlink" Target="consultantplus://offline/ref=1A292B4A634AFA05372C1E7D29F5B861C8757272616384CDA5A9AA0359CFB381D91A6DEB70953157D27F0BEC34F6BD93833F93CD364A48EAxAO8K" TargetMode="External"/><Relationship Id="rId35" Type="http://schemas.openxmlformats.org/officeDocument/2006/relationships/hyperlink" Target="consultantplus://offline/ref=1A292B4A634AFA05372C1E7D29F5B861CA7D7276646384CDA5A9AA0359CFB381D91A6DEB70953757D07F0BEC34F6BD93833F93CD364A48EAxAO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3731</Words>
  <Characters>21271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2021-03-01T10:14:00Z</dcterms:created>
  <dcterms:modified xsi:type="dcterms:W3CDTF">2021-03-01T10:16:00Z</dcterms:modified>
</cp:coreProperties>
</file>