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D7" w:rsidRDefault="00D93BD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93BD7" w:rsidRDefault="00D93BD7">
      <w:pPr>
        <w:pStyle w:val="ConsPlusNormal"/>
        <w:ind w:firstLine="540"/>
        <w:jc w:val="both"/>
        <w:outlineLvl w:val="0"/>
      </w:pPr>
    </w:p>
    <w:p w:rsidR="00D93BD7" w:rsidRDefault="00D93BD7">
      <w:pPr>
        <w:pStyle w:val="ConsPlusTitle"/>
        <w:jc w:val="center"/>
      </w:pPr>
      <w:r>
        <w:t>АРБИТРАЖНЫЙ СУД МОСКОВСКОГО ОКРУГА</w:t>
      </w:r>
    </w:p>
    <w:p w:rsidR="00D93BD7" w:rsidRDefault="00D93BD7">
      <w:pPr>
        <w:pStyle w:val="ConsPlusTitle"/>
        <w:jc w:val="center"/>
      </w:pPr>
    </w:p>
    <w:p w:rsidR="00D93BD7" w:rsidRDefault="00D93BD7">
      <w:pPr>
        <w:pStyle w:val="ConsPlusTitle"/>
        <w:jc w:val="center"/>
      </w:pPr>
      <w:r>
        <w:t>ПОСТАНОВЛЕНИЕ</w:t>
      </w:r>
    </w:p>
    <w:p w:rsidR="00D93BD7" w:rsidRDefault="00D93BD7">
      <w:pPr>
        <w:pStyle w:val="ConsPlusTitle"/>
        <w:jc w:val="center"/>
      </w:pPr>
      <w:r>
        <w:t>от 10 сентября 2019 г. по делу N А40-282341/18</w:t>
      </w:r>
    </w:p>
    <w:p w:rsidR="00D93BD7" w:rsidRDefault="00D93BD7">
      <w:pPr>
        <w:pStyle w:val="ConsPlusNormal"/>
        <w:ind w:firstLine="540"/>
        <w:jc w:val="both"/>
      </w:pPr>
    </w:p>
    <w:p w:rsidR="00D93BD7" w:rsidRDefault="00D93BD7">
      <w:pPr>
        <w:pStyle w:val="ConsPlusNormal"/>
        <w:ind w:firstLine="540"/>
        <w:jc w:val="both"/>
      </w:pPr>
      <w:r>
        <w:t>Резолютивная часть постановления объявлена 03 сентября 2019 года.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Полный текст постановления изготовлен 10 сентября 2019 года.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Арбитражный суд Московского округа в составе: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председательствующего-судьи Кузнецова В.В.,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судей: Григорьевой И.Ю., Каменской О.В.,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при участии в заседании: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от заявителя: Паркина А.В., доверенность от 01.07.2019;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от заинтересованного лица: представитель не явился, извещен;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от третьих лиц: представители не явились, извещены;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рассмотрев 03 сентября 2019 года в судебном заседании кассационную жалобу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заявителя - ООО "Мульти-Сервис"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на решение от 26 февраля 2019 года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Арбитражного суда города Москвы,</w:t>
      </w:r>
    </w:p>
    <w:p w:rsidR="00D93BD7" w:rsidRDefault="00D93BD7">
      <w:pPr>
        <w:pStyle w:val="ConsPlusNormal"/>
        <w:spacing w:before="240"/>
        <w:ind w:firstLine="540"/>
        <w:jc w:val="both"/>
      </w:pPr>
      <w:proofErr w:type="gramStart"/>
      <w:r>
        <w:t>принятое</w:t>
      </w:r>
      <w:proofErr w:type="gramEnd"/>
      <w:r>
        <w:t xml:space="preserve"> судьей Кузиным М.М.,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на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от 30 мая 2019 года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Девятого арбитражного апелляционного суда,</w:t>
      </w:r>
    </w:p>
    <w:p w:rsidR="00D93BD7" w:rsidRDefault="00D93BD7">
      <w:pPr>
        <w:pStyle w:val="ConsPlusNormal"/>
        <w:spacing w:before="240"/>
        <w:ind w:firstLine="540"/>
        <w:jc w:val="both"/>
      </w:pPr>
      <w:proofErr w:type="gramStart"/>
      <w:r>
        <w:t>принятое</w:t>
      </w:r>
      <w:proofErr w:type="gramEnd"/>
      <w:r>
        <w:t xml:space="preserve"> судьями Бекетовой И.В., Красновой Т.Б., Захаровым С.Л.,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по делу N А40-282341/18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по заявлению ООО "Мульти-Сервис"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об оспаривании решения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к </w:t>
      </w:r>
      <w:proofErr w:type="gramStart"/>
      <w:r>
        <w:t>Московскому</w:t>
      </w:r>
      <w:proofErr w:type="gramEnd"/>
      <w:r>
        <w:t xml:space="preserve"> УФАС России,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третьи лица: ФАС России, ГУП "Московский метрополитен",</w:t>
      </w:r>
    </w:p>
    <w:p w:rsidR="00D93BD7" w:rsidRDefault="00D93BD7">
      <w:pPr>
        <w:pStyle w:val="ConsPlusNormal"/>
        <w:jc w:val="center"/>
      </w:pPr>
    </w:p>
    <w:p w:rsidR="00D93BD7" w:rsidRDefault="00D93BD7">
      <w:pPr>
        <w:pStyle w:val="ConsPlusNormal"/>
        <w:jc w:val="center"/>
      </w:pPr>
      <w:r>
        <w:t>установил:</w:t>
      </w:r>
    </w:p>
    <w:p w:rsidR="00D93BD7" w:rsidRDefault="00D93BD7">
      <w:pPr>
        <w:pStyle w:val="ConsPlusNormal"/>
        <w:jc w:val="center"/>
      </w:pPr>
    </w:p>
    <w:p w:rsidR="00D93BD7" w:rsidRDefault="00D93BD7">
      <w:pPr>
        <w:pStyle w:val="ConsPlusNormal"/>
        <w:ind w:firstLine="540"/>
        <w:jc w:val="both"/>
      </w:pPr>
      <w:r>
        <w:t xml:space="preserve">ООО "Мульти-Сервис" (далее - общество) обратилось в Арбитражный суд города </w:t>
      </w:r>
      <w:r>
        <w:lastRenderedPageBreak/>
        <w:t>Москвы с заявлением о признании незаконным решения Московского УФАС России (далее - антимонопольный орган) от 19.09.2018 по делу N 2-19-10894/77-18.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К участию в деле в качестве третьих лиц, не заявляющих самостоятельных требований относительно предмета спора, привлечены ФАС России и ГУП "Московский метрополитен".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Решением Арбитражного суда города Москвы от 26 февраля 2019 года в удовлетворении заявленных требований отказано.</w:t>
      </w:r>
    </w:p>
    <w:p w:rsidR="00D93BD7" w:rsidRDefault="00D93BD7">
      <w:pPr>
        <w:pStyle w:val="ConsPlusNormal"/>
        <w:spacing w:before="240"/>
        <w:ind w:firstLine="540"/>
        <w:jc w:val="both"/>
      </w:pPr>
      <w:hyperlink r:id="rId7" w:history="1">
        <w:r>
          <w:rPr>
            <w:color w:val="0000FF"/>
          </w:rPr>
          <w:t>Постановлением</w:t>
        </w:r>
      </w:hyperlink>
      <w:r>
        <w:t xml:space="preserve"> Девятого арбитражного апелляционного суда от 30 мая 2019 года решение суда первой инстанции оставлено без изменения.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Не согласившись с принятыми по делу судебными актами, ООО "Мульти-Сервис" обратилось с кассационной жалобой, в которой просит решение и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отменить и принять по делу новый судебный акт об удовлетворении заявленных требований.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Заявитель жалобы считает судебные акты незаконными и необоснованными, как принятые с неправильным применением норм материального и процессуального права.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Заинтересованное лицо и третьи лица, извещенные надлежащим образом о месте и времени рассмотрения кассационной жалобы, своих представителей в судебное заседание суда кассационной инстанции не направили, что в силу </w:t>
      </w:r>
      <w:hyperlink r:id="rId9" w:history="1">
        <w:r>
          <w:rPr>
            <w:color w:val="0000FF"/>
          </w:rPr>
          <w:t>части 3 статьи 284</w:t>
        </w:r>
      </w:hyperlink>
      <w:r>
        <w:t xml:space="preserve"> Арбитражного процессуального кодекса Российской Федерации не является препятствием для рассмотрения дела в их отсутствие.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В судебном заседании суда кассационной инстанции представитель заявителя поддержал доводы кассационной жалобы.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Изучив материалы дела, обсудив доводы кассационной жалобы, выслушав представителя заявителя, проверив в порядке </w:t>
      </w:r>
      <w:hyperlink r:id="rId10" w:history="1">
        <w:r>
          <w:rPr>
            <w:color w:val="0000FF"/>
          </w:rPr>
          <w:t>статьи 286</w:t>
        </w:r>
      </w:hyperlink>
      <w:r>
        <w:t xml:space="preserve"> Арбитражного процессуального кодекса Российской Федерации правильность применения судами первой и апелляционной инстанций норм материального и процессуального права, кассационная инстанция не находит оснований для изменения или отмены обжалуемых судебных актов в связи со следующим.</w:t>
      </w:r>
    </w:p>
    <w:p w:rsidR="00D93BD7" w:rsidRDefault="00D93BD7">
      <w:pPr>
        <w:pStyle w:val="ConsPlusNormal"/>
        <w:spacing w:before="240"/>
        <w:ind w:firstLine="540"/>
        <w:jc w:val="both"/>
      </w:pPr>
      <w:proofErr w:type="gramStart"/>
      <w:r>
        <w:t xml:space="preserve">Как следует из материалов дела и установлено судами первой и апелляционной инстанций, в антимонопольный орган поступило обращение ГУП "Московский метрополитен" (далее - заказчик) о включении сведений в отношении заявителя в реестр недобросовестных поставщиков в связи с несоблюдением обязанности по подписанию контракта в срок, установленный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</w:t>
      </w:r>
      <w:proofErr w:type="gramEnd"/>
      <w:r>
        <w:t xml:space="preserve"> государственных и муниципальных нужд" (далее - Закон о контрактной системе), и представлению надлежащего обеспечения исполнения контракта.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В результате рассмотрения указанного обращения антимонопольный орган согласился с </w:t>
      </w:r>
      <w:proofErr w:type="gramStart"/>
      <w:r>
        <w:t>заказчиком</w:t>
      </w:r>
      <w:proofErr w:type="gramEnd"/>
      <w:r>
        <w:t xml:space="preserve"> о возможности признания заявителя уклонившимся от заключения контракта и, как следствие, о необходимости включения сведений о нем в реестр недобросовестных поставщиков в контексте </w:t>
      </w:r>
      <w:hyperlink r:id="rId12" w:history="1">
        <w:r>
          <w:rPr>
            <w:color w:val="0000FF"/>
          </w:rPr>
          <w:t>статьи 104</w:t>
        </w:r>
      </w:hyperlink>
      <w:r>
        <w:t xml:space="preserve"> Закона о контрактной системе.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В ходе рассмотрения указанного обращения установлено, что фактическое подписание контракта осуществилось заявителем за пределами установленного срока, в </w:t>
      </w:r>
      <w:r>
        <w:lastRenderedPageBreak/>
        <w:t>свою очередь, непредставление обеспечения обусловлено ошибкой заявителя - указанием неверного счета получателя обеспечительного платежа.</w:t>
      </w:r>
    </w:p>
    <w:p w:rsidR="00D93BD7" w:rsidRDefault="00D93BD7">
      <w:pPr>
        <w:pStyle w:val="ConsPlusNormal"/>
        <w:spacing w:before="240"/>
        <w:ind w:firstLine="540"/>
        <w:jc w:val="both"/>
      </w:pPr>
      <w:proofErr w:type="gramStart"/>
      <w:r>
        <w:t>Не согласившись с принятым решением, общество обратилось в суд с требованием о признании вынесенного акта недействительным, как вынесенного без учета всех имеющих значение для данного дела обстоятельств.</w:t>
      </w:r>
      <w:proofErr w:type="gramEnd"/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Суды отметили, что в обоснование своей позиции заявитель ссылался на предоставленную электронной площадкой возможность подписания контракта после истечения отведенного срока, что, по его мнению, свидетельствует о соблюдении положений </w:t>
      </w:r>
      <w:hyperlink r:id="rId13" w:history="1">
        <w:r>
          <w:rPr>
            <w:color w:val="0000FF"/>
          </w:rPr>
          <w:t>части 3 статьи 83.2</w:t>
        </w:r>
      </w:hyperlink>
      <w:r>
        <w:t xml:space="preserve"> Закона о контрактной системе.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Также заявитель ссылался на положения </w:t>
      </w:r>
      <w:hyperlink r:id="rId14" w:history="1">
        <w:r>
          <w:rPr>
            <w:color w:val="0000FF"/>
          </w:rPr>
          <w:t>Кодекса</w:t>
        </w:r>
      </w:hyperlink>
      <w:r>
        <w:t xml:space="preserve"> об административных правонарушениях Российской Федерации (далее - КоАП РФ), согласно которым вина субъекта подразделяется </w:t>
      </w:r>
      <w:proofErr w:type="gramStart"/>
      <w:r>
        <w:t>на</w:t>
      </w:r>
      <w:proofErr w:type="gramEnd"/>
      <w:r>
        <w:t xml:space="preserve"> умышленную и неосторожную. При этом несвоевременное подписание контракта и ошибочное перечисление обеспечительного платежа на счет торговой площадки, как указывает заявитель, свидетельствует именно о неосторожности специалиста общества.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В свою очередь, подобная неосторожность, по мнению заявителя, не могла явиться основанием для включения сведений о нем в реестр недобросовестных поставщиков.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В подтверждение данного довода заявитель привел ссылки на постановления Конституционного Суда Российской Федерации от 30.07.2001 </w:t>
      </w:r>
      <w:hyperlink r:id="rId15" w:history="1">
        <w:r>
          <w:rPr>
            <w:color w:val="0000FF"/>
          </w:rPr>
          <w:t>N 13-П</w:t>
        </w:r>
      </w:hyperlink>
      <w:r>
        <w:t xml:space="preserve"> и от 21.11.2002 </w:t>
      </w:r>
      <w:hyperlink r:id="rId16" w:history="1">
        <w:r>
          <w:rPr>
            <w:color w:val="0000FF"/>
          </w:rPr>
          <w:t>N 15-П</w:t>
        </w:r>
      </w:hyperlink>
      <w:r>
        <w:t>, а также ссылался на наличие обязанности у антимонопольного органа устанавливать умысел лица в уклонении от заключения государственного контракта.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На основании изложенных обстоятельств общество сочло незаконным оспариваемое решение.</w:t>
      </w:r>
    </w:p>
    <w:p w:rsidR="00D93BD7" w:rsidRDefault="00D93BD7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7" w:history="1">
        <w:r>
          <w:rPr>
            <w:color w:val="0000FF"/>
          </w:rPr>
          <w:t>частью 4 статьи 200</w:t>
        </w:r>
      </w:hyperlink>
      <w:r>
        <w:t xml:space="preserve"> Арбитражного процессуального кодекса Российской Федерации, </w:t>
      </w:r>
      <w:hyperlink r:id="rId18" w:history="1">
        <w:r>
          <w:rPr>
            <w:color w:val="0000FF"/>
          </w:rPr>
          <w:t>статьей 13</w:t>
        </w:r>
      </w:hyperlink>
      <w:r>
        <w:t xml:space="preserve"> Гражданского кодекса Российской Федерации, </w:t>
      </w:r>
      <w:hyperlink r:id="rId19" w:history="1">
        <w:r>
          <w:rPr>
            <w:color w:val="0000FF"/>
          </w:rPr>
          <w:t>пунктом 6</w:t>
        </w:r>
      </w:hyperlink>
      <w:r>
        <w:t xml:space="preserve"> постановления Пленума Верховного Суда Российской Федерации и Пленума Высшего Арбитражного Суда Российской Федерации от 01.07.1996 N 6/8 "О некоторых вопросах, связанных с применением части первой Гражданского кодекса Российской Федерации", в круг обстоятельств, подлежащих установлению при рассмотрении дел об оспаривании</w:t>
      </w:r>
      <w:proofErr w:type="gramEnd"/>
      <w:r>
        <w:t xml:space="preserve"> ненормативных актов, действий (бездействия) госорганов входят проверка соответствия оспариваемого акта закону или иному нормативному правовому акту, проверка факта нарушения оспариваемым актом, действием (бездействием) прав и законных интересов заявителя, а также соблюдение срока на подачу заявления в суд.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Сроки, предусмотренные </w:t>
      </w:r>
      <w:hyperlink r:id="rId20" w:history="1">
        <w:r>
          <w:rPr>
            <w:color w:val="0000FF"/>
          </w:rPr>
          <w:t>частью 4 статьи 198</w:t>
        </w:r>
      </w:hyperlink>
      <w:r>
        <w:t xml:space="preserve"> Арбитражного процессуального кодекса Российской Федерации, суды обоснованно сочли соблюденными.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Как следует из материалов дела и установлено судами, 20.07.2018 ГУП "Московский метрополитен" на официальном сайте закупок размещено извещение о проведен</w:t>
      </w:r>
      <w:proofErr w:type="gramStart"/>
      <w:r>
        <w:t>ии ау</w:t>
      </w:r>
      <w:proofErr w:type="gramEnd"/>
      <w:r>
        <w:t>кциона на право заключения государственного контракта по результатам электронного аукциона на оказание услуг по техническому обслуживанию полуавтоматов (реестровый N 0573200007518000801).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Протоколом рассмотрения единственной заявки на участие в электронном аукционе от 31.07.2018 N 0573200007518000801-5-1 ООО "Мульти-Сервис" признано победителем электронного аукциона, соответственно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последнего</w:t>
      </w:r>
      <w:proofErr w:type="gramEnd"/>
      <w:r>
        <w:t xml:space="preserve"> положениями </w:t>
      </w:r>
      <w:hyperlink r:id="rId21" w:history="1">
        <w:r>
          <w:rPr>
            <w:color w:val="0000FF"/>
          </w:rPr>
          <w:t>Закона</w:t>
        </w:r>
      </w:hyperlink>
      <w:r>
        <w:t xml:space="preserve"> о контрактной системе возложена обязанность по своевременному подписанию контракта и </w:t>
      </w:r>
      <w:r>
        <w:lastRenderedPageBreak/>
        <w:t>предоставлению надлежащего обеспечения.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В случае неисполнения вышеназванных обязанностей в силу </w:t>
      </w:r>
      <w:hyperlink r:id="rId22" w:history="1">
        <w:r>
          <w:rPr>
            <w:color w:val="0000FF"/>
          </w:rPr>
          <w:t>части 5 статьи 96</w:t>
        </w:r>
      </w:hyperlink>
      <w:r>
        <w:t xml:space="preserve"> Закона о контрактной системе победитель закупки признается уклонившимся от заключения государственного контракта.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При наступлении условий, предусмотренных указанной </w:t>
      </w:r>
      <w:hyperlink r:id="rId23" w:history="1">
        <w:r>
          <w:rPr>
            <w:color w:val="0000FF"/>
          </w:rPr>
          <w:t>статьей</w:t>
        </w:r>
      </w:hyperlink>
      <w:r>
        <w:t>, информация о таких поставщиках (подрядчиках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сполнителях) включается в реестр недобросовестных поставщиков (</w:t>
      </w:r>
      <w:hyperlink r:id="rId24" w:history="1">
        <w:r>
          <w:rPr>
            <w:color w:val="0000FF"/>
          </w:rPr>
          <w:t>часть 2 статьи 104</w:t>
        </w:r>
      </w:hyperlink>
      <w:r>
        <w:t xml:space="preserve"> Закона о контрактной системе).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25" w:history="1">
        <w:r>
          <w:rPr>
            <w:color w:val="0000FF"/>
          </w:rPr>
          <w:t>части 2 статьи 83.2</w:t>
        </w:r>
      </w:hyperlink>
      <w:r>
        <w:t xml:space="preserve"> Закона о контрактной системе, в течение пяти дней </w:t>
      </w:r>
      <w:proofErr w:type="gramStart"/>
      <w:r>
        <w:t>с даты размещения</w:t>
      </w:r>
      <w:proofErr w:type="gramEnd"/>
      <w:r>
        <w:t xml:space="preserve">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контракта.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Во исполнение требований указанной </w:t>
      </w:r>
      <w:hyperlink r:id="rId26" w:history="1">
        <w:r>
          <w:rPr>
            <w:color w:val="0000FF"/>
          </w:rPr>
          <w:t>нормы</w:t>
        </w:r>
      </w:hyperlink>
      <w:r>
        <w:t xml:space="preserve"> заказчик 06.08.2018 </w:t>
      </w:r>
      <w:proofErr w:type="gramStart"/>
      <w:r>
        <w:t>разместил проект</w:t>
      </w:r>
      <w:proofErr w:type="gramEnd"/>
      <w:r>
        <w:t xml:space="preserve"> государственного контракта, ввиду чего срок направления контракта и обеспечения исполнения по нему обязательств 13.08.2018 (с учетом выходных дней).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Однако, как установлено судами, в указанный срок проект контракта обществом подписан не был, обеспечительный платеж на счет заказчика или надлежащая банковская гарантия также не были представлены заявителем.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Изложенные обстоятельства послужили основанием для принятия со стороны заказчика решения о признании заявителя уклонившимся от заключения государственного контракта, оформленного протоколом от 15.08.2018 N 2390029.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Впоследствии все документы и сведения о ходе проведения данной закупки переданы в антимонопольный орган, при их рассмотрении обстоятельства, свидетельствующие о возможности освобождения лица от мер публичного контроля, не установлены.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Доводы заявителя о подписании контракта 14.08.2018 не могут быть приняты во внимание, поскольку, как обоснованно указали суды, данные действия совершены за пределами установленного пятидневного срока. В свою очередь, дозволение площадки на совершение данных действий не может свидетельствовать об изменении императивных норм </w:t>
      </w:r>
      <w:hyperlink r:id="rId27" w:history="1">
        <w:r>
          <w:rPr>
            <w:color w:val="0000FF"/>
          </w:rPr>
          <w:t>статьи 83.2</w:t>
        </w:r>
      </w:hyperlink>
      <w:r>
        <w:t xml:space="preserve"> Закона о контрактной системе, согласно которым срок на подписание контракта составляет именно 5 дней.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Кроме того, с момента признания общества победителем процедуры у последнего возникает две самостоятельных обязанности: подписание контракта и представление надлежащего обеспечения. При этом неисполнение каждой из них является самостоятельным </w:t>
      </w:r>
      <w:proofErr w:type="gramStart"/>
      <w:r>
        <w:t>основанием</w:t>
      </w:r>
      <w:proofErr w:type="gramEnd"/>
      <w:r>
        <w:t xml:space="preserve"> для признания лица уклонившимся от заключения государственного контракта.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В настоящем случае со стороны заявителя не исполнена ни одна из них, соответственно у антимонопольного органа отсутствовала возможность неприменения к нему мер публичной ответственности.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Так, обеспечительный платеж в силу халатности сотрудника общества был направлен на счет электронной торговой площадки, однако данное обстоятельство, вопреки мнению заявителя об </w:t>
      </w:r>
      <w:proofErr w:type="gramStart"/>
      <w:r>
        <w:t>обратном</w:t>
      </w:r>
      <w:proofErr w:type="gramEnd"/>
      <w:r>
        <w:t xml:space="preserve">, не свидетельствует в пользу его добросовестности. Напротив, изложенная линия поведения говорит о безоговорочной халатности и безответственности участника публичной закупки, приведшей к нарушению </w:t>
      </w:r>
      <w:r>
        <w:lastRenderedPageBreak/>
        <w:t>прав третьего лица, не получившего требуемые ему услуги.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Доводы заявителя, как правомерно заключили суды, обусловленные ссылками на положения </w:t>
      </w:r>
      <w:hyperlink r:id="rId28" w:history="1">
        <w:r>
          <w:rPr>
            <w:color w:val="0000FF"/>
          </w:rPr>
          <w:t>КоАП</w:t>
        </w:r>
      </w:hyperlink>
      <w:r>
        <w:t xml:space="preserve"> РФ, не могут быть применимы к настоящему спору, поскольку не регулируют данные общественные правоотношения.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Кроме того, включение участника закупки в реестр недобросовестных поставщиков возможно только при наличии в действиях такого поставщика (подрядчика, исполнителя) недобросовестного поведения. </w:t>
      </w:r>
      <w:proofErr w:type="gramStart"/>
      <w:r>
        <w:t>При этом недобросовестность юридического лица должна определяться не его виной, то есть субъективным отношением к содеянному, а исключительно той степенью заботливости и осмотрительности, какая от него требовалась по характеру обязательства и условиям оборота.</w:t>
      </w:r>
      <w:proofErr w:type="gramEnd"/>
    </w:p>
    <w:p w:rsidR="00D93BD7" w:rsidRDefault="00D93BD7">
      <w:pPr>
        <w:pStyle w:val="ConsPlusNormal"/>
        <w:spacing w:before="240"/>
        <w:ind w:firstLine="540"/>
        <w:jc w:val="both"/>
      </w:pPr>
      <w:r>
        <w:t>В настоящем случае заявитель безразлично отнесся к обязанности по направлению подписанного проекта контракта и представлению обеспечения.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Вместе с тем, действуя добросовестно и разумно, заявитель обязан должным образом следить за ходом процедуры подписания контракта, поскольку обязанность по представлению надлежащего обеспечения заказчику и своевременному заключению договора лежит именно на победителе конкурентной процедуры.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Таким образом, действия общества на стадии заключения государственного контракта свидетельствуют об уклонении от его подписания в силу </w:t>
      </w:r>
      <w:hyperlink r:id="rId29" w:history="1">
        <w:r>
          <w:rPr>
            <w:color w:val="0000FF"/>
          </w:rPr>
          <w:t>части 13 статьи 83.2</w:t>
        </w:r>
      </w:hyperlink>
      <w:r>
        <w:t xml:space="preserve"> Закона о контрактной системе.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На основании изложенного антимонопольным органом правомерно сделаны выводы о необходимости применения к лицу мер публично-правовой ответственности в контексте </w:t>
      </w:r>
      <w:hyperlink r:id="rId30" w:history="1">
        <w:r>
          <w:rPr>
            <w:color w:val="0000FF"/>
          </w:rPr>
          <w:t>части 2 статьи 104</w:t>
        </w:r>
      </w:hyperlink>
      <w:r>
        <w:t xml:space="preserve"> Закона о контрактной системе, ввиду чего обстоятельства, свидетельствующие о необходимости отмены оспариваемого акта, у судов отсутствовали.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Исходя из изложенного, суды пришли к правомерному выводу о том, что Московским УФАС России сведения об ООО "Мульти-Сервис" обоснованно включены в реестр недобросовестных поставщиков.</w:t>
      </w:r>
    </w:p>
    <w:p w:rsidR="00D93BD7" w:rsidRDefault="00D93BD7">
      <w:pPr>
        <w:pStyle w:val="ConsPlusNormal"/>
        <w:spacing w:before="240"/>
        <w:ind w:firstLine="540"/>
        <w:jc w:val="both"/>
      </w:pPr>
      <w:proofErr w:type="gramStart"/>
      <w:r>
        <w:t xml:space="preserve">Как обоснованно отметили суды, приведенные заявителем доводы представляют собой лишь констатацию факта его несогласия со сделанными антимонопольным органом выводами, а потому, ввиду отсутствия доказательств ошибочности таких выводов, не могут являться основанием для признания оспариваемого решения недействительным в контексте </w:t>
      </w:r>
      <w:hyperlink r:id="rId31" w:history="1">
        <w:r>
          <w:rPr>
            <w:color w:val="0000FF"/>
          </w:rPr>
          <w:t>статей 198</w:t>
        </w:r>
      </w:hyperlink>
      <w:r>
        <w:t xml:space="preserve">, </w:t>
      </w:r>
      <w:hyperlink r:id="rId32" w:history="1">
        <w:r>
          <w:rPr>
            <w:color w:val="0000FF"/>
          </w:rPr>
          <w:t>200</w:t>
        </w:r>
      </w:hyperlink>
      <w:r>
        <w:t xml:space="preserve">, </w:t>
      </w:r>
      <w:hyperlink r:id="rId33" w:history="1">
        <w:r>
          <w:rPr>
            <w:color w:val="0000FF"/>
          </w:rPr>
          <w:t>201</w:t>
        </w:r>
      </w:hyperlink>
      <w:r>
        <w:t xml:space="preserve"> Арбитражного процессуального кодекса Российской Федерации.</w:t>
      </w:r>
      <w:proofErr w:type="gramEnd"/>
    </w:p>
    <w:p w:rsidR="00D93BD7" w:rsidRDefault="00D93BD7">
      <w:pPr>
        <w:pStyle w:val="ConsPlusNormal"/>
        <w:spacing w:before="240"/>
        <w:ind w:firstLine="540"/>
        <w:jc w:val="both"/>
      </w:pPr>
      <w:r>
        <w:t>При таких обстоятельствах суд кассационной инстанции находит выводы судов первой и апелляционной инстанций законными и обоснованными, сделанными при правильном применении норм материального и процессуального права, с установлением всех обстоятельств по делу, имеющих существенное значение для правильного разрешения спора по существу.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Доводы кассационной жалобы о нарушении судами норм материального права судебной коллегией отклоняются, поскольку основаны на неверном толковании этих норм.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Указанные в кассационной жалобе доводы были предметом рассмотрения и оценки судов при принятии обжалуемых актов. Каких-либо новых доводов кассационная жалоба не содержит, а приведенные в жалобе доводы не опровергают правильности принятых по </w:t>
      </w:r>
      <w:r>
        <w:lastRenderedPageBreak/>
        <w:t>делу судебных актов.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Доводы кассационной жалобы сводятся к переоценке имеющихся в деле доказательств, что в силу положений </w:t>
      </w:r>
      <w:hyperlink r:id="rId34" w:history="1">
        <w:r>
          <w:rPr>
            <w:color w:val="0000FF"/>
          </w:rPr>
          <w:t>статьи 286</w:t>
        </w:r>
      </w:hyperlink>
      <w:r>
        <w:t xml:space="preserve"> и </w:t>
      </w:r>
      <w:hyperlink r:id="rId35" w:history="1">
        <w:r>
          <w:rPr>
            <w:color w:val="0000FF"/>
          </w:rPr>
          <w:t>части 2 статьи 287</w:t>
        </w:r>
      </w:hyperlink>
      <w:r>
        <w:t xml:space="preserve"> Арбитражного процессуального кодекса Российской Федерации выходит за пределы полномочий суда кассационной инстанции.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>Нарушений судами первой и апелляционной инстанций норм материального и процессуального права, могущих повлиять на правильность принятых судами судебных актов либо влекущих безусловную отмену последних, судом кассационной инстанции не выявлено.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оснований, предусмотренных </w:t>
      </w:r>
      <w:hyperlink r:id="rId36" w:history="1">
        <w:r>
          <w:rPr>
            <w:color w:val="0000FF"/>
          </w:rPr>
          <w:t>статьей 288</w:t>
        </w:r>
      </w:hyperlink>
      <w:r>
        <w:t xml:space="preserve"> Арбитражного процессуального кодекса Российской Федерации, для изменения или отмены обжалуемых в кассационном порядке судебных актов, по делу не имеется.</w:t>
      </w:r>
    </w:p>
    <w:p w:rsidR="00D93BD7" w:rsidRDefault="00D93BD7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37" w:history="1">
        <w:r>
          <w:rPr>
            <w:color w:val="0000FF"/>
          </w:rPr>
          <w:t>статьями 284</w:t>
        </w:r>
      </w:hyperlink>
      <w:r>
        <w:t xml:space="preserve"> - </w:t>
      </w:r>
      <w:hyperlink r:id="rId38" w:history="1">
        <w:r>
          <w:rPr>
            <w:color w:val="0000FF"/>
          </w:rPr>
          <w:t>289</w:t>
        </w:r>
      </w:hyperlink>
      <w:r>
        <w:t xml:space="preserve"> Арбитражного процессуального кодекса Российской Федерации, суд</w:t>
      </w:r>
    </w:p>
    <w:p w:rsidR="00D93BD7" w:rsidRDefault="00D93BD7">
      <w:pPr>
        <w:pStyle w:val="ConsPlusNormal"/>
        <w:jc w:val="center"/>
      </w:pPr>
    </w:p>
    <w:p w:rsidR="00D93BD7" w:rsidRDefault="00D93BD7">
      <w:pPr>
        <w:pStyle w:val="ConsPlusNormal"/>
        <w:jc w:val="center"/>
      </w:pPr>
      <w:r>
        <w:t>постановил:</w:t>
      </w:r>
    </w:p>
    <w:p w:rsidR="00D93BD7" w:rsidRDefault="00D93BD7">
      <w:pPr>
        <w:pStyle w:val="ConsPlusNormal"/>
        <w:jc w:val="center"/>
      </w:pPr>
    </w:p>
    <w:p w:rsidR="00D93BD7" w:rsidRDefault="00D93BD7">
      <w:pPr>
        <w:pStyle w:val="ConsPlusNormal"/>
        <w:ind w:firstLine="540"/>
        <w:jc w:val="both"/>
      </w:pPr>
      <w:r>
        <w:t xml:space="preserve">Решение Арбитражного суда города Москвы от 26 февраля 2019 года и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30 мая 2019 года по делу N А40-282341/18 оставить без изменения, кассационную жалоб</w:t>
      </w:r>
      <w:proofErr w:type="gramStart"/>
      <w:r>
        <w:t>у ООО</w:t>
      </w:r>
      <w:proofErr w:type="gramEnd"/>
      <w:r>
        <w:t xml:space="preserve"> "Мульти-Сервис" - без удовлетворения.</w:t>
      </w:r>
    </w:p>
    <w:p w:rsidR="00D93BD7" w:rsidRDefault="00D93BD7">
      <w:pPr>
        <w:pStyle w:val="ConsPlusNormal"/>
        <w:ind w:firstLine="540"/>
        <w:jc w:val="both"/>
      </w:pPr>
    </w:p>
    <w:p w:rsidR="00D93BD7" w:rsidRDefault="00D93BD7">
      <w:pPr>
        <w:pStyle w:val="ConsPlusNormal"/>
        <w:jc w:val="right"/>
      </w:pPr>
      <w:r>
        <w:t>Председательствующий судья</w:t>
      </w:r>
    </w:p>
    <w:p w:rsidR="00D93BD7" w:rsidRDefault="00D93BD7">
      <w:pPr>
        <w:pStyle w:val="ConsPlusNormal"/>
        <w:jc w:val="right"/>
      </w:pPr>
      <w:r>
        <w:t>В.В.КУЗНЕЦОВ</w:t>
      </w:r>
    </w:p>
    <w:p w:rsidR="00D93BD7" w:rsidRDefault="00D93BD7">
      <w:pPr>
        <w:pStyle w:val="ConsPlusNormal"/>
        <w:jc w:val="right"/>
      </w:pPr>
    </w:p>
    <w:p w:rsidR="00D93BD7" w:rsidRDefault="00D93BD7">
      <w:pPr>
        <w:pStyle w:val="ConsPlusNormal"/>
        <w:jc w:val="right"/>
      </w:pPr>
      <w:r>
        <w:t>Судьи</w:t>
      </w:r>
    </w:p>
    <w:p w:rsidR="00D93BD7" w:rsidRDefault="00D93BD7">
      <w:pPr>
        <w:pStyle w:val="ConsPlusNormal"/>
        <w:jc w:val="right"/>
      </w:pPr>
      <w:r>
        <w:t>И.Ю.ГРИГОРЬЕВА</w:t>
      </w:r>
    </w:p>
    <w:p w:rsidR="00D93BD7" w:rsidRDefault="00D93BD7">
      <w:pPr>
        <w:pStyle w:val="ConsPlusNormal"/>
        <w:jc w:val="right"/>
      </w:pPr>
      <w:r>
        <w:t>О.В.КАМЕНСКАЯ</w:t>
      </w:r>
    </w:p>
    <w:p w:rsidR="00D93BD7" w:rsidRDefault="00D93BD7">
      <w:pPr>
        <w:pStyle w:val="ConsPlusNormal"/>
        <w:ind w:firstLine="540"/>
        <w:jc w:val="both"/>
      </w:pPr>
    </w:p>
    <w:p w:rsidR="00D93BD7" w:rsidRDefault="00D93BD7">
      <w:pPr>
        <w:pStyle w:val="ConsPlusNormal"/>
        <w:ind w:firstLine="540"/>
        <w:jc w:val="both"/>
      </w:pPr>
    </w:p>
    <w:p w:rsidR="00D93BD7" w:rsidRDefault="00D93B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D93BD7">
      <w:bookmarkStart w:id="0" w:name="_GoBack"/>
      <w:bookmarkEnd w:id="0"/>
    </w:p>
    <w:sectPr w:rsidR="001552FE" w:rsidSect="0010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D7"/>
    <w:rsid w:val="00536E16"/>
    <w:rsid w:val="005C5D8E"/>
    <w:rsid w:val="00957F33"/>
    <w:rsid w:val="00963F56"/>
    <w:rsid w:val="009B3926"/>
    <w:rsid w:val="00CA5555"/>
    <w:rsid w:val="00CF6166"/>
    <w:rsid w:val="00D255F1"/>
    <w:rsid w:val="00D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B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93B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93B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B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93B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93B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C0A726D879AC4BD1DC0342A4AC5648A3F45A288EF0C351F67A9E962A6584F2025B9F90E3E762349BBA3EC6990073bEHFI" TargetMode="External"/><Relationship Id="rId13" Type="http://schemas.openxmlformats.org/officeDocument/2006/relationships/hyperlink" Target="consultantplus://offline/ref=95C0A726D879AC4BD1DC0242A1D5031BADF4592C89F6C90FA178CFC324608CA24A4BC3D5B6E36738D1EB728D960076F1F1B5A1237F0AbEH1I" TargetMode="External"/><Relationship Id="rId18" Type="http://schemas.openxmlformats.org/officeDocument/2006/relationships/hyperlink" Target="consultantplus://offline/ref=95C0A726D879AC4BD1DC0242A1D5031BADF55C258BF6C90FA178CFC324608CA24A4BC3D5B6EA623B80B16289DF557CEFF6A3BF29610AE15Bb3HAI" TargetMode="External"/><Relationship Id="rId26" Type="http://schemas.openxmlformats.org/officeDocument/2006/relationships/hyperlink" Target="consultantplus://offline/ref=95C0A726D879AC4BD1DC0242A1D5031BADF4592C89F6C90FA178CFC324608CA24A4BC3DDB3E36967D4FE63D59B076FEFF9A3BD217Db0H8I" TargetMode="External"/><Relationship Id="rId39" Type="http://schemas.openxmlformats.org/officeDocument/2006/relationships/hyperlink" Target="consultantplus://offline/ref=95C0A726D879AC4BD1DC0342A4AC5648A3F45A288EF0C351F67A9E962A6584F2025B9F90E3E762349BBA3EC6990073bEH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5C0A726D879AC4BD1DC0242A1D5031BADF4592C89F6C90FA178CFC324608CA2584B9BD9B6ED7C338DA434D899b0H0I" TargetMode="External"/><Relationship Id="rId34" Type="http://schemas.openxmlformats.org/officeDocument/2006/relationships/hyperlink" Target="consultantplus://offline/ref=95C0A726D879AC4BD1DC0242A1D5031BADF4552D8FF1C90FA178CFC324608CA24A4BC3D5B6EB6A3B87B16289DF557CEFF6A3BF29610AE15Bb3HAI" TargetMode="External"/><Relationship Id="rId7" Type="http://schemas.openxmlformats.org/officeDocument/2006/relationships/hyperlink" Target="consultantplus://offline/ref=95C0A726D879AC4BD1DC0342A4AC5648A3F45A288EF0C351F67A9E962A6584F2025B9F90E3E762349BBA3EC6990073bEHFI" TargetMode="External"/><Relationship Id="rId12" Type="http://schemas.openxmlformats.org/officeDocument/2006/relationships/hyperlink" Target="consultantplus://offline/ref=95C0A726D879AC4BD1DC0242A1D5031BADF4592C89F6C90FA178CFC324608CA24A4BC3D5B6EB663A82B16289DF557CEFF6A3BF29610AE15Bb3HAI" TargetMode="External"/><Relationship Id="rId17" Type="http://schemas.openxmlformats.org/officeDocument/2006/relationships/hyperlink" Target="consultantplus://offline/ref=95C0A726D879AC4BD1DC0242A1D5031BADF4552D8FF1C90FA178CFC324608CA24A4BC3D7B1EF6967D4FE63D59B076FEFF9A3BD217Db0H8I" TargetMode="External"/><Relationship Id="rId25" Type="http://schemas.openxmlformats.org/officeDocument/2006/relationships/hyperlink" Target="consultantplus://offline/ref=95C0A726D879AC4BD1DC0242A1D5031BADF4592C89F6C90FA178CFC324608CA24A4BC3DDB3E36967D4FE63D59B076FEFF9A3BD217Db0H8I" TargetMode="External"/><Relationship Id="rId33" Type="http://schemas.openxmlformats.org/officeDocument/2006/relationships/hyperlink" Target="consultantplus://offline/ref=95C0A726D879AC4BD1DC0242A1D5031BADF4552D8FF1C90FA178CFC324608CA24A4BC3D7B1EC6967D4FE63D59B076FEFF9A3BD217Db0H8I" TargetMode="External"/><Relationship Id="rId38" Type="http://schemas.openxmlformats.org/officeDocument/2006/relationships/hyperlink" Target="consultantplus://offline/ref=95C0A726D879AC4BD1DC0242A1D5031BADF4552D8FF1C90FA178CFC324608CA24A4BC3D5B6EB6B3285B16289DF557CEFF6A3BF29610AE15Bb3H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C0A726D879AC4BD1DC0242A1D5031BADFC5B2B80FF9405A921C3C1236FD3A74D5AC3D4B1F4623B9BB836DAb9HBI" TargetMode="External"/><Relationship Id="rId20" Type="http://schemas.openxmlformats.org/officeDocument/2006/relationships/hyperlink" Target="consultantplus://offline/ref=95C0A726D879AC4BD1DC0242A1D5031BADF4552D8FF1C90FA178CFC324608CA24A4BC3D5B6EB603782B16289DF557CEFF6A3BF29610AE15Bb3HAI" TargetMode="External"/><Relationship Id="rId29" Type="http://schemas.openxmlformats.org/officeDocument/2006/relationships/hyperlink" Target="consultantplus://offline/ref=95C0A726D879AC4BD1DC0242A1D5031BADF4592C89F6C90FA178CFC324608CA24A4BC3DDB1EA6967D4FE63D59B076FEFF9A3BD217Db0H8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0A726D879AC4BD1DC0342A4AC5648A3F45A288EF0C351F67A9E962A6584F2025B9F90E3E762349BBA3EC6990073bEHFI" TargetMode="External"/><Relationship Id="rId11" Type="http://schemas.openxmlformats.org/officeDocument/2006/relationships/hyperlink" Target="consultantplus://offline/ref=95C0A726D879AC4BD1DC0242A1D5031BADF4592C89F6C90FA178CFC324608CA2584B9BD9B6ED7C338DA434D899b0H0I" TargetMode="External"/><Relationship Id="rId24" Type="http://schemas.openxmlformats.org/officeDocument/2006/relationships/hyperlink" Target="consultantplus://offline/ref=95C0A726D879AC4BD1DC0242A1D5031BADF4592C89F6C90FA178CFC324608CA24A4BC3D5B6EB663A8CB16289DF557CEFF6A3BF29610AE15Bb3HAI" TargetMode="External"/><Relationship Id="rId32" Type="http://schemas.openxmlformats.org/officeDocument/2006/relationships/hyperlink" Target="consultantplus://offline/ref=95C0A726D879AC4BD1DC0242A1D5031BADF4552D8FF1C90FA178CFC324608CA24A4BC3D7B1E86967D4FE63D59B076FEFF9A3BD217Db0H8I" TargetMode="External"/><Relationship Id="rId37" Type="http://schemas.openxmlformats.org/officeDocument/2006/relationships/hyperlink" Target="consultantplus://offline/ref=95C0A726D879AC4BD1DC0242A1D5031BADF4552D8FF1C90FA178CFC324608CA24A4BC3D5B6EB6A3483B16289DF557CEFF6A3BF29610AE15Bb3HAI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5C0A726D879AC4BD1DC0242A1D5031BADF75A248EFF9405A921C3C1236FD3A74D5AC3D4B1F4623B9BB836DAb9HBI" TargetMode="External"/><Relationship Id="rId23" Type="http://schemas.openxmlformats.org/officeDocument/2006/relationships/hyperlink" Target="consultantplus://offline/ref=95C0A726D879AC4BD1DC0242A1D5031BADF4592C89F6C90FA178CFC324608CA24A4BC3D5B6EB613781B16289DF557CEFF6A3BF29610AE15Bb3HAI" TargetMode="External"/><Relationship Id="rId28" Type="http://schemas.openxmlformats.org/officeDocument/2006/relationships/hyperlink" Target="consultantplus://offline/ref=95C0A726D879AC4BD1DC0242A1D5031BADF45B2B8CFDC90FA178CFC324608CA2584B9BD9B6ED7C338DA434D899b0H0I" TargetMode="External"/><Relationship Id="rId36" Type="http://schemas.openxmlformats.org/officeDocument/2006/relationships/hyperlink" Target="consultantplus://offline/ref=95C0A726D879AC4BD1DC0242A1D5031BADF4552D8FF1C90FA178CFC324608CA24A4BC3D5B6E26638D1EB728D960076F1F1B5A1237F0AbEH1I" TargetMode="External"/><Relationship Id="rId10" Type="http://schemas.openxmlformats.org/officeDocument/2006/relationships/hyperlink" Target="consultantplus://offline/ref=95C0A726D879AC4BD1DC0242A1D5031BADF4552D8FF1C90FA178CFC324608CA24A4BC3D5B6EB6A3B87B16289DF557CEFF6A3BF29610AE15Bb3HAI" TargetMode="External"/><Relationship Id="rId19" Type="http://schemas.openxmlformats.org/officeDocument/2006/relationships/hyperlink" Target="consultantplus://offline/ref=95C0A726D879AC4BD1DC0242A1D5031BADF4592D81FCC90FA178CFC324608CA24A4BC3D5B6EA62328DB16289DF557CEFF6A3BF29610AE15Bb3HAI" TargetMode="External"/><Relationship Id="rId31" Type="http://schemas.openxmlformats.org/officeDocument/2006/relationships/hyperlink" Target="consultantplus://offline/ref=95C0A726D879AC4BD1DC0242A1D5031BADF4552D8FF1C90FA178CFC324608CA24A4BC3D5B6EB603786B16289DF557CEFF6A3BF29610AE15Bb3H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C0A726D879AC4BD1DC0242A1D5031BADF4552D8FF1C90FA178CFC324608CA24A4BC3D5B6EB6A348CB16289DF557CEFF6A3BF29610AE15Bb3HAI" TargetMode="External"/><Relationship Id="rId14" Type="http://schemas.openxmlformats.org/officeDocument/2006/relationships/hyperlink" Target="consultantplus://offline/ref=95C0A726D879AC4BD1DC0242A1D5031BADF45B2B8CFDC90FA178CFC324608CA2584B9BD9B6ED7C338DA434D899b0H0I" TargetMode="External"/><Relationship Id="rId22" Type="http://schemas.openxmlformats.org/officeDocument/2006/relationships/hyperlink" Target="consultantplus://offline/ref=95C0A726D879AC4BD1DC0242A1D5031BADF4592C89F6C90FA178CFC324608CA24A4BC3D5B6EB61378CB16289DF557CEFF6A3BF29610AE15Bb3HAI" TargetMode="External"/><Relationship Id="rId27" Type="http://schemas.openxmlformats.org/officeDocument/2006/relationships/hyperlink" Target="consultantplus://offline/ref=95C0A726D879AC4BD1DC0242A1D5031BADF4592C89F6C90FA178CFC324608CA24A4BC3DDB3ED6967D4FE63D59B076FEFF9A3BD217Db0H8I" TargetMode="External"/><Relationship Id="rId30" Type="http://schemas.openxmlformats.org/officeDocument/2006/relationships/hyperlink" Target="consultantplus://offline/ref=95C0A726D879AC4BD1DC0242A1D5031BADF4592C89F6C90FA178CFC324608CA24A4BC3D5B6EB663A8CB16289DF557CEFF6A3BF29610AE15Bb3HAI" TargetMode="External"/><Relationship Id="rId35" Type="http://schemas.openxmlformats.org/officeDocument/2006/relationships/hyperlink" Target="consultantplus://offline/ref=95C0A726D879AC4BD1DC0242A1D5031BADF4552D8FF1C90FA178CFC324608CA24A4BC3D5B6EB6A3A81B16289DF557CEFF6A3BF29610AE15Bb3H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2020-08-07T08:07:00Z</dcterms:created>
  <dcterms:modified xsi:type="dcterms:W3CDTF">2020-08-07T08:08:00Z</dcterms:modified>
</cp:coreProperties>
</file>