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CA" w:rsidRDefault="001437C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37CA" w:rsidRDefault="001437CA">
      <w:pPr>
        <w:pStyle w:val="ConsPlusNormal"/>
        <w:jc w:val="both"/>
        <w:outlineLvl w:val="0"/>
      </w:pPr>
    </w:p>
    <w:p w:rsidR="001437CA" w:rsidRDefault="001437CA">
      <w:pPr>
        <w:pStyle w:val="ConsPlusTitle"/>
        <w:jc w:val="center"/>
      </w:pPr>
      <w:r>
        <w:t>ЧЕТЫРНАДЦАТЫЙ АРБИТРАЖНЫЙ АПЕЛЛЯЦИОННЫЙ СУД</w:t>
      </w:r>
    </w:p>
    <w:p w:rsidR="001437CA" w:rsidRDefault="001437CA">
      <w:pPr>
        <w:pStyle w:val="ConsPlusTitle"/>
        <w:jc w:val="center"/>
      </w:pPr>
    </w:p>
    <w:p w:rsidR="001437CA" w:rsidRDefault="001437CA">
      <w:pPr>
        <w:pStyle w:val="ConsPlusTitle"/>
        <w:jc w:val="center"/>
      </w:pPr>
      <w:r>
        <w:t>ПОСТАНОВЛЕНИЕ</w:t>
      </w:r>
    </w:p>
    <w:p w:rsidR="001437CA" w:rsidRDefault="001437CA">
      <w:pPr>
        <w:pStyle w:val="ConsPlusTitle"/>
        <w:jc w:val="center"/>
      </w:pPr>
      <w:r>
        <w:t>от 30 июня 2015 г. по делу N А05-463/2015</w:t>
      </w: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ind w:firstLine="540"/>
        <w:jc w:val="both"/>
      </w:pPr>
      <w:r>
        <w:t>Резолютивная часть постановления объявлена 25 июня 2015 года.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В полном объеме постановление изготовлено 30 июня 2015 года.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Четырнадцатый арбитражный апелляционный суд в составе председательствующего Потеевой А.В., судей Кутузовой И.В. и Холминова А.А.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при ведении протокола секретарем судебного заседания Борисовой А.В.,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рассмотрев в открытом судебном заседании апелляционную жалобу общества с ограниченной ответственностью "Архангельский лесной торговый дом" на решение Арбитражного суда Архангельской области от 12 марта 2015 года по делу N А05-463/2015 (судья Крылов В.А.),</w:t>
      </w: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jc w:val="center"/>
      </w:pPr>
      <w:r>
        <w:t>установил:</w:t>
      </w: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ind w:firstLine="540"/>
        <w:jc w:val="both"/>
      </w:pPr>
      <w:proofErr w:type="gramStart"/>
      <w:r>
        <w:t>общество с ограниченной ответственностью "Архангельский лесной торговый дом" (место нахождения: 163000, Архангельская обл., г. Архангельск, ул. Поморская, д. 5, офис 230, ОГРН 1022900518915, ИНН 2901029834, далее - общество) обратилось в Арбитражный суд Архангельской области с исковым заявлением к мэрии города Архангельска (место нахождения: 163000, Архангельская обл., г. Архангельск, пл. Ленина, д. 5, ОГРН 1022900509521, ИНН 2901065991, далее - мэрия города) о взыскании</w:t>
      </w:r>
      <w:proofErr w:type="gramEnd"/>
      <w:r>
        <w:t xml:space="preserve"> 94 820 руб. 54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олга за товар, поставленный по муниципальному контракту от 22.10.2014 N 30-кр, 7179 руб. 50 коп. неустойки за просрочку исполнения денежного обязательства за период с 14.01.2015 по 25.02.2015, а также 20 000 руб. расходов на оплату услуг представителя (требования указаны с уточнениями, принятыми судом в порядке </w:t>
      </w:r>
      <w:hyperlink r:id="rId6" w:history="1">
        <w:r>
          <w:rPr>
            <w:color w:val="0000FF"/>
          </w:rPr>
          <w:t>статьи 49</w:t>
        </w:r>
      </w:hyperlink>
      <w:r>
        <w:t xml:space="preserve"> Арбитражного процессуального кодекса Российской Федерации (далее - АПК РФ).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Решением от 12 марта 2015 года суд взыскал с ответчика в пользу истца неустойку в размере 6084 руб. 32 коп</w:t>
      </w:r>
      <w:proofErr w:type="gramStart"/>
      <w:r>
        <w:t xml:space="preserve">., </w:t>
      </w:r>
      <w:proofErr w:type="gramEnd"/>
      <w:r>
        <w:t>расходы по оплате услуг представителя в сумме 17 000 руб., а также 242 руб. в возмещение расходов по уплате государственной пошлины.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Общество, не согласившись с судебным актом, обратилось с апелляционной жалобой, в которой просит решение суда отменить. В обоснование своей позиции податель жалобы ссылается на то, что конкурсная документация не содержала требований о предоставлении потенциальными контрагентами информации о применяемой ими системе налогообложения; при указании цены товара с учетом налога на добавленную стоимость (далее - НДС) допущена техническая ошибка.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Ответчик в отзыве на жалобу просит решение суда оставить без изменения.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Стороны надлежащим образом извещены о времени и месте рассмотрения апелляционной жалобы, представителей в суд не направили, в связи с этим разбирательство по делу произведено без их участия в соответствии со </w:t>
      </w:r>
      <w:hyperlink r:id="rId7" w:history="1">
        <w:r>
          <w:rPr>
            <w:color w:val="0000FF"/>
          </w:rPr>
          <w:t>статьями 123</w:t>
        </w:r>
      </w:hyperlink>
      <w:r>
        <w:t xml:space="preserve">, </w:t>
      </w:r>
      <w:hyperlink r:id="rId8" w:history="1">
        <w:r>
          <w:rPr>
            <w:color w:val="0000FF"/>
          </w:rPr>
          <w:t>156</w:t>
        </w:r>
      </w:hyperlink>
      <w:r>
        <w:t xml:space="preserve">, </w:t>
      </w:r>
      <w:hyperlink r:id="rId9" w:history="1">
        <w:r>
          <w:rPr>
            <w:color w:val="0000FF"/>
          </w:rPr>
          <w:t>266</w:t>
        </w:r>
      </w:hyperlink>
      <w:r>
        <w:t xml:space="preserve"> АПК РФ.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Исследовав доказательства по делу, проверив законность и обоснованность решения, арбитражный суд апелляционной инстанции не находит оснований для удовлетворения жалобы.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Как следует из материалов дела, 22.10.2014 стороны заключили муниципальный контракт N 30-кр </w:t>
      </w:r>
      <w:r>
        <w:lastRenderedPageBreak/>
        <w:t>(далее - контракт), согласно которому общество (поставщик) обязалось поставить мэрии города (заказчик) хозяйственный инвентарь согласно спецификации для оснащения МАДОУ "Детский сад комбинированного вида N 157 "Сиверко" (далее - товар), а ответчик - принять и оплатить этот товар.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В соответствии с условиями контракта срок поставки составляет 30 календарных дней </w:t>
      </w:r>
      <w:proofErr w:type="gramStart"/>
      <w:r>
        <w:t>с даты</w:t>
      </w:r>
      <w:proofErr w:type="gramEnd"/>
      <w:r>
        <w:t xml:space="preserve"> его подписания (раздел 3).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Цена товара определена по результатам торгов в форме открытого аукциона в электронной форме в размере 621 601 руб. 33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НДС (пункт 2.1).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Во исполнение условий контракта обществом произведена поставка товара по товарной накладной от 21.11.2014 N 1906 на сумму 621 601 руб. 33 коп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исты дела 12 - 13). Факт поставки товара в полном объеме ответчиком не оспаривается.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Письмом от 12.12.2014 N 179 (лист дела 19) поставщик сообщил заказчику, что не является плательщиком НДС и предложил внести изменения в контракт.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С сопроводительным письмом от 22.12.2014 N 012-16/7937 (лист дела 21) мэрия города направила обществу дополнительное соглашение об уменьшении цены контракта на сумму НДС. По мнению заказчика, цена контракта должна составлять 526 780 руб. 79 коп</w:t>
      </w:r>
      <w:proofErr w:type="gramStart"/>
      <w:r>
        <w:t>.</w:t>
      </w:r>
      <w:proofErr w:type="gramEnd"/>
      <w:r>
        <w:t xml:space="preserve"> (</w:t>
      </w:r>
      <w:proofErr w:type="gramStart"/>
      <w:r>
        <w:t>б</w:t>
      </w:r>
      <w:proofErr w:type="gramEnd"/>
      <w:r>
        <w:t>ез НДС).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Соглашение об изменении цены контракта сторонами не подписано.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В установленный контрактом срок заказчик оплату товара не произвел, что явилось основанием для обращения истца в арбитражный суд с настоящим иском.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В ходе судебного разбирательства, в связи с уплатой ответчиком задолженности в сумме 526 780 руб. 79 коп., общество уточнило исковые требования, просило взыскать с мэрии города 94 820 руб. 54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сновного долга, 7179 руб. 50 коп. неустойки за просрочку исполнения денежного обязательства за период с 14.01.2015 по 25.02.2015, а также 20 000 руб. расходов на оплату услуг представителя.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Суд первой инстанции, рассмотрев материалы настоящего дела, правомерно удовлетворил заявленные требования частично.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Исходя из положений </w:t>
      </w:r>
      <w:hyperlink r:id="rId10" w:history="1">
        <w:r>
          <w:rPr>
            <w:color w:val="0000FF"/>
          </w:rPr>
          <w:t>статей 309</w:t>
        </w:r>
      </w:hyperlink>
      <w:r>
        <w:t xml:space="preserve"> и </w:t>
      </w:r>
      <w:hyperlink r:id="rId11" w:history="1">
        <w:r>
          <w:rPr>
            <w:color w:val="0000FF"/>
          </w:rPr>
          <w:t>310</w:t>
        </w:r>
      </w:hyperlink>
      <w:r>
        <w:t xml:space="preserve"> Гражданского кодекса Российской Федерации (далее - ГК РФ), обязательства должны исполняться надлежащим образом в соответствии с условиями договора и требованиями закона; односторонний отказ от исполнения обязательств не допускается.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пунктом 1 статьи 525</w:t>
        </w:r>
      </w:hyperlink>
      <w:r>
        <w:t xml:space="preserve"> ГК РФ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нужд, а также заключаемых в соответствии с ним договоров поставки товаров для государственных или муниципальных нужд </w:t>
      </w:r>
      <w:hyperlink r:id="rId13" w:history="1">
        <w:r>
          <w:rPr>
            <w:color w:val="0000FF"/>
          </w:rPr>
          <w:t>(пункт 2 статьи 530)</w:t>
        </w:r>
      </w:hyperlink>
      <w:r>
        <w:t>.</w:t>
      </w:r>
    </w:p>
    <w:p w:rsidR="001437CA" w:rsidRDefault="001437CA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Пунктом 2 статьи 525</w:t>
        </w:r>
      </w:hyperlink>
      <w:r>
        <w:t xml:space="preserve"> ГК РФ определено, что к отношениям по поставке товаров для государственных или муниципальных нужд применяются правила о договоре поставки (</w:t>
      </w:r>
      <w:hyperlink r:id="rId15" w:history="1">
        <w:r>
          <w:rPr>
            <w:color w:val="0000FF"/>
          </w:rPr>
          <w:t>статьи 506</w:t>
        </w:r>
      </w:hyperlink>
      <w:r>
        <w:t xml:space="preserve"> - </w:t>
      </w:r>
      <w:hyperlink r:id="rId16" w:history="1">
        <w:r>
          <w:rPr>
            <w:color w:val="0000FF"/>
          </w:rPr>
          <w:t>522</w:t>
        </w:r>
      </w:hyperlink>
      <w:r>
        <w:t xml:space="preserve"> ГК РФ), если иное не предусмотрено настоящим </w:t>
      </w:r>
      <w:hyperlink r:id="rId17" w:history="1">
        <w:r>
          <w:rPr>
            <w:color w:val="0000FF"/>
          </w:rPr>
          <w:t>Кодексом</w:t>
        </w:r>
      </w:hyperlink>
      <w:r>
        <w:t>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8" w:history="1">
        <w:r>
          <w:rPr>
            <w:color w:val="0000FF"/>
          </w:rPr>
          <w:t>статье 506</w:t>
        </w:r>
      </w:hyperlink>
      <w:r>
        <w:t xml:space="preserve"> ГК РФ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>
        <w:t>сроки</w:t>
      </w:r>
      <w:proofErr w:type="gramEnd"/>
      <w: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Покупатель оплачивает поставляемые товары с соблюдением порядка и формы расчетов, </w:t>
      </w:r>
      <w:r>
        <w:lastRenderedPageBreak/>
        <w:t>предусмотренных договором поставки (</w:t>
      </w:r>
      <w:hyperlink r:id="rId19" w:history="1">
        <w:r>
          <w:rPr>
            <w:color w:val="0000FF"/>
          </w:rPr>
          <w:t>статья 516</w:t>
        </w:r>
      </w:hyperlink>
      <w:r>
        <w:t xml:space="preserve"> ГК РФ).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В данном случае мэрия города, руководствуясь тем, что на момент заключения контракта общество находилось на упрощенной системе налогообложения и в соответствии с </w:t>
      </w:r>
      <w:hyperlink r:id="rId20" w:history="1">
        <w:r>
          <w:rPr>
            <w:color w:val="0000FF"/>
          </w:rPr>
          <w:t>пунктом 2 статьи 346.11</w:t>
        </w:r>
      </w:hyperlink>
      <w:r>
        <w:t xml:space="preserve"> Налогового кодекса Российской Федерации (далее - НК РФ) не являлось плательщиком НДС, произвело оплату задолженности по контракту в сумме 526 780 руб. 79 коп</w:t>
      </w:r>
      <w:proofErr w:type="gramStart"/>
      <w:r>
        <w:t>.</w:t>
      </w:r>
      <w:proofErr w:type="gramEnd"/>
      <w:r>
        <w:t xml:space="preserve"> (</w:t>
      </w:r>
      <w:proofErr w:type="gramStart"/>
      <w:r>
        <w:t>б</w:t>
      </w:r>
      <w:proofErr w:type="gramEnd"/>
      <w:r>
        <w:t>ез НДС).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Суд первой инстанции, признав позицию ответчика обоснованной, правомерно отказал в удовлетворении требований истца о взыскании суммы долга в размере 94 820 руб. 54 коп.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21" w:history="1">
        <w:r>
          <w:rPr>
            <w:color w:val="0000FF"/>
          </w:rPr>
          <w:t>подпункта 1 пункта 1 статьи 146</w:t>
        </w:r>
      </w:hyperlink>
      <w:r>
        <w:t xml:space="preserve"> НК РФ объектом налогообложения по НДС признается реализация товаров (работ, услуг) на территории Российской Федерации, в том числе реализация предметов залога и передача товаров (результатов выполненных работ, оказание услуг) по соглашению о предоставлении отступного или новации, а также передача имущественных прав.</w:t>
      </w:r>
    </w:p>
    <w:p w:rsidR="001437CA" w:rsidRDefault="001437CA">
      <w:pPr>
        <w:pStyle w:val="ConsPlusNormal"/>
        <w:spacing w:before="240"/>
        <w:ind w:firstLine="540"/>
        <w:jc w:val="both"/>
      </w:pPr>
      <w:proofErr w:type="gramStart"/>
      <w:r>
        <w:t xml:space="preserve">Как следует из </w:t>
      </w:r>
      <w:hyperlink r:id="rId22" w:history="1">
        <w:r>
          <w:rPr>
            <w:color w:val="0000FF"/>
          </w:rPr>
          <w:t>абзаца первого пункта 1 статьи 168</w:t>
        </w:r>
      </w:hyperlink>
      <w:r>
        <w:t xml:space="preserve"> НК РФ, при реализации товаров (работ, услуг), передаче имущественных прав налогоплательщик (налоговый агент, указанный в </w:t>
      </w:r>
      <w:hyperlink r:id="rId23" w:history="1">
        <w:r>
          <w:rPr>
            <w:color w:val="0000FF"/>
          </w:rPr>
          <w:t>пунктах 4</w:t>
        </w:r>
      </w:hyperlink>
      <w:r>
        <w:t xml:space="preserve"> и </w:t>
      </w:r>
      <w:hyperlink r:id="rId24" w:history="1">
        <w:r>
          <w:rPr>
            <w:color w:val="0000FF"/>
          </w:rPr>
          <w:t>5 статьи 161</w:t>
        </w:r>
      </w:hyperlink>
      <w:r>
        <w:t xml:space="preserve"> Кодекса) дополнительно к цене (тарифу) реализуемых товаров (работ, услуг), передаваемых имущественных прав обязан предъявить к оплате покупателю этих товаров (работ, услуг), имущественных прав соответствующую сумму налога.</w:t>
      </w:r>
      <w:proofErr w:type="gramEnd"/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5" w:history="1">
        <w:r>
          <w:rPr>
            <w:color w:val="0000FF"/>
          </w:rPr>
          <w:t>пункту 2 статьи 346.11</w:t>
        </w:r>
      </w:hyperlink>
      <w:r>
        <w:t xml:space="preserve"> НК РФ организации, перешедшие на упрощенную систему налогообложения, не признаются налогоплательщиками НДС, за исключением этого налога, подлежащего уплате при ввозе товаров на территорию Российской Федерации и иные территории, находящиеся под ее юрисдикцией, а также налога, уплачиваемого в соответствии со </w:t>
      </w:r>
      <w:hyperlink r:id="rId26" w:history="1">
        <w:r>
          <w:rPr>
            <w:color w:val="0000FF"/>
          </w:rPr>
          <w:t>статьей 174.1</w:t>
        </w:r>
      </w:hyperlink>
      <w:r>
        <w:t xml:space="preserve"> названного Кодекса.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В рассматриваемом случае поставщик по контракту не является плательщиком НДС, при заключении контракта ему было известно, что цена поставляемого товара включает НДС (пункт 2.1 контракта). Довод истца о том, что указание в контракте цены с НДС является ошибочным и вызвано опечаткой, не подтверждается материалами дела, за разъяснением конкурсной документации он не обращался.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Правомерно отклонены судом первой инстанции ссылки истца на </w:t>
      </w:r>
      <w:hyperlink r:id="rId27" w:history="1">
        <w:r>
          <w:rPr>
            <w:color w:val="0000FF"/>
          </w:rPr>
          <w:t>часть 2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согласно которой, цена контракта является твердой и определяется на весь срок исполнения контракта. </w:t>
      </w:r>
      <w:proofErr w:type="gramStart"/>
      <w:r>
        <w:t>Оплата заказчиком товара без учета НДС в данном случае не является изменением цены контракта, поскольку применение упрощенной системы налогообложения организациями предусматривает их освобождение от обязанности по уплате НДС, Ссылки общества на письмо Минфина России от 05.09.2014 N 03-11-11/44793 не принимаются судом апелляционной инстанции, поскольку указанное письмо не является нормативным правовым актом, что прямо отражено в данном письме.</w:t>
      </w:r>
      <w:proofErr w:type="gramEnd"/>
    </w:p>
    <w:p w:rsidR="001437CA" w:rsidRDefault="001437CA">
      <w:pPr>
        <w:pStyle w:val="ConsPlusNormal"/>
        <w:spacing w:before="240"/>
        <w:ind w:firstLine="540"/>
        <w:jc w:val="both"/>
      </w:pPr>
      <w:r>
        <w:t>Размер НДС в сумме 94 820 руб. 54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счислен мэрией города по налоговой ставке 18% на основании </w:t>
      </w:r>
      <w:hyperlink r:id="rId28" w:history="1">
        <w:r>
          <w:rPr>
            <w:color w:val="0000FF"/>
          </w:rPr>
          <w:t>статьи 164</w:t>
        </w:r>
      </w:hyperlink>
      <w:r>
        <w:t xml:space="preserve"> НК РФ.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Учитывая изложенное, суд первой инстанции пришел к обоснованному выводу о том, что поставщик при отсутствии у него обязанности по уплате НДС в бюджет, претендует на возмещение стоимости товара с учетом НДС. Общество указанный налог при реализации товаров по контракту не платило, в </w:t>
      </w:r>
      <w:proofErr w:type="gramStart"/>
      <w:r>
        <w:t>связи</w:t>
      </w:r>
      <w:proofErr w:type="gramEnd"/>
      <w:r>
        <w:t xml:space="preserve"> с чем уплата ответчиком суммы налога приведет к возникновению на стороне истца неосновательного обогащения за счет денежных средств заказчика.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В рамках настоящего дела обществом также заявлено требование о взыскании 7179 руб. 50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еустойки за просрочку исполнения денежного обязательства за период с 14.01.2015 по 25.02.2015.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lastRenderedPageBreak/>
        <w:t>Неустойкой (пеней, штрафом) признается установленная законом или договором денежная сумма, которую должник обязан уплатить кредитору вследствие неисполнения или ненадлежащего исполнения обязательства (</w:t>
      </w:r>
      <w:hyperlink r:id="rId29" w:history="1">
        <w:r>
          <w:rPr>
            <w:color w:val="0000FF"/>
          </w:rPr>
          <w:t>статья 330</w:t>
        </w:r>
      </w:hyperlink>
      <w:r>
        <w:t xml:space="preserve"> ГК РФ).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Поскольку ответчиком допущена просрочка исполнения обязательств по оплате поставленного товара, требование общества о взыскании неустойки, согласованной сторонами в пункте 7.2 контракта, правомерно признано судом первой инстанции обоснованным.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Согласно расчету суда неустойка, исходя из обязанности заказчика по оплате поставленного товара на сумму 526 780 руб. 79 коп</w:t>
      </w:r>
      <w:proofErr w:type="gramStart"/>
      <w:r>
        <w:t xml:space="preserve">., </w:t>
      </w:r>
      <w:proofErr w:type="gramEnd"/>
      <w:r>
        <w:t>за период с 14.01.2015 по 25.02.2015 составила 6084 руб. 32 коп.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Апелляционная инстанция согласна с произведенным судом расчетом неустойки.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Кроме того, обществом заявлено требование о взыскании 20 000 руб. судебных расходов на оплату услуг представителя.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0" w:history="1">
        <w:r>
          <w:rPr>
            <w:color w:val="0000FF"/>
          </w:rPr>
          <w:t>статьей 101</w:t>
        </w:r>
      </w:hyperlink>
      <w:r>
        <w:t xml:space="preserve"> АПК РФ судебные расходы состоят из государственной пошлины и судебных издержек, связанных с рассмотрением дела арбитражным судом. Расходы на оплату услуг адвокатов и иных лиц, оказывающих юридическую помощь (представителей), </w:t>
      </w:r>
      <w:hyperlink r:id="rId31" w:history="1">
        <w:r>
          <w:rPr>
            <w:color w:val="0000FF"/>
          </w:rPr>
          <w:t>статьей 106</w:t>
        </w:r>
      </w:hyperlink>
      <w:r>
        <w:t xml:space="preserve"> АПК РФ отнесены к судебным издержкам. При этом право на возмещение таких расходов возникает при условии, что сторона понесла затраты, получателем которых является лицо (организация), оказывающее юридические услуги (</w:t>
      </w:r>
      <w:hyperlink r:id="rId32" w:history="1">
        <w:r>
          <w:rPr>
            <w:color w:val="0000FF"/>
          </w:rPr>
          <w:t>часть 1 статьи 110</w:t>
        </w:r>
      </w:hyperlink>
      <w:r>
        <w:t xml:space="preserve"> настоящего Кодекса).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На основании требований </w:t>
      </w:r>
      <w:hyperlink r:id="rId33" w:history="1">
        <w:r>
          <w:rPr>
            <w:color w:val="0000FF"/>
          </w:rPr>
          <w:t>статьи 65</w:t>
        </w:r>
      </w:hyperlink>
      <w:r>
        <w:t xml:space="preserve"> АПК РФ доказательства, подтверждающие разумность расходов на оплату услуг представителя, должна представить сторона, требующая возмещения указанных расходов. При определении разумных пределов расходов на оплату услуг представителя могут приниматься во внимание, в частности: время, которое мог бы затратить квалифицированный специалист; сложившаяся в регионе стоимость оплаты услуг адвокатов; имеющиеся сведения статистических органов о ценах на рынке юридических услуг; продолжительность рассмотрения и сложность дела (</w:t>
      </w:r>
      <w:hyperlink r:id="rId34" w:history="1">
        <w:r>
          <w:rPr>
            <w:color w:val="0000FF"/>
          </w:rPr>
          <w:t>пункт 20</w:t>
        </w:r>
      </w:hyperlink>
      <w:r>
        <w:t xml:space="preserve"> информационного письма Президиума Высшего Арбитражного суда Российской Федерации от 13.08.2004 N 82 "О некоторых вопросах применения Арбитражного процессуального кодекса Российской Федерации").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Из материалов дела следует, истец (клиент) и общество с ограниченной ответственностью "Юридическая Система" (исполнитель) 12.01.2015 заключили договор на оказание юридических услуг N 81/ЮС (лист дела 50), согласно которому исполнитель принял на себя обязательство по оказанию клиенту юридических услуг, связанных </w:t>
      </w:r>
      <w:proofErr w:type="gramStart"/>
      <w:r>
        <w:t>со</w:t>
      </w:r>
      <w:proofErr w:type="gramEnd"/>
      <w:r>
        <w:t xml:space="preserve"> взысканием задолженности и иных денежных средств по спорному контракту.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Вознаграждение по данному договору определено сторонами в размере 20 000 руб. и подлежит оплате в течение 7 банковских дней с момента заключения договора (пункты 3.1 и 3.2).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В подтверждение факта оплаты услуг обществом представлено платежное поручение от 20.01.2015 N 66 (лист дела 53).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Факт оказания исполнителем юридических услуг клиенту подтверждается материалами дела: представителем исполнителя подписано исковое заявление, данное лицо принимало участие в судебных заседаниях арбитражного суда первой инстанции 25.02.2015 и 11.03.2015.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Суд, исходя из пропорционального соотношения удовлетворенных и отказанных исковых требований, обоснованно признал подлежащими возмещению истцу расходы на оплату услуг представителя в размере 17 000 руб. При определении суммы судебных расходов, суд также принял во внимание, что оплата по контракту в размере 526 780 руб. 79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роизведена ответчиком 10.03.2015, после обращения общества в арбитражный суд.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lastRenderedPageBreak/>
        <w:t>Доказательств, свидетельствующих о чрезмерности понесенных истцом расходов, ответчиком в материалы дела не предъявлено.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Учитывая вышеизложенное, апелляционная коллегия считает, что доводы жалобы не содержат фактов, которые влияли бы на законность и обоснованность обжалуемого решения либо опровергали выводы суда первой инстанции. Нарушений или неправильного применения норм материального и процессуального права не установлено. Оснований для отмены или изменения состоявшегося судебного акта не имеется.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В связи с отказом в удовлетворении жалобы судебные расходы за ее рассмотрение подлежат отнесению на общество в порядке </w:t>
      </w:r>
      <w:hyperlink r:id="rId35" w:history="1">
        <w:r>
          <w:rPr>
            <w:color w:val="0000FF"/>
          </w:rPr>
          <w:t>статьи 110</w:t>
        </w:r>
      </w:hyperlink>
      <w:r>
        <w:t xml:space="preserve"> АПК РФ.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36" w:history="1">
        <w:r>
          <w:rPr>
            <w:color w:val="0000FF"/>
          </w:rPr>
          <w:t>статьями 268</w:t>
        </w:r>
      </w:hyperlink>
      <w:r>
        <w:t xml:space="preserve">, </w:t>
      </w:r>
      <w:hyperlink r:id="rId37" w:history="1">
        <w:r>
          <w:rPr>
            <w:color w:val="0000FF"/>
          </w:rPr>
          <w:t>269</w:t>
        </w:r>
      </w:hyperlink>
      <w:r>
        <w:t xml:space="preserve">, </w:t>
      </w:r>
      <w:hyperlink r:id="rId38" w:history="1">
        <w:r>
          <w:rPr>
            <w:color w:val="0000FF"/>
          </w:rPr>
          <w:t>271</w:t>
        </w:r>
      </w:hyperlink>
      <w:r>
        <w:t xml:space="preserve"> Арбитражного процессуального кодекса Российской Федерации, Четырнадцатый арбитражный апелляционный суд</w:t>
      </w: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jc w:val="center"/>
      </w:pPr>
      <w:r>
        <w:t>постановил:</w:t>
      </w: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ind w:firstLine="540"/>
        <w:jc w:val="both"/>
      </w:pPr>
      <w:r>
        <w:t>решение Арбитражного суда Архангельской области от 12 марта 2015 года по делу N А05-463/2015 оставить без изменения, апелляционную жалобу общества с ограниченной ответственностью "Архангельский лесной торговый дом" - без удовлетворения.</w:t>
      </w:r>
    </w:p>
    <w:p w:rsidR="001437CA" w:rsidRDefault="001437CA">
      <w:pPr>
        <w:pStyle w:val="ConsPlusNormal"/>
        <w:spacing w:before="240"/>
        <w:ind w:firstLine="540"/>
        <w:jc w:val="both"/>
      </w:pPr>
      <w:r>
        <w:t>Постановление может быть обжаловано в Арбитражный суд Северо-Западного округа в срок, не превышающий двух месяцев со дня его принятия.</w:t>
      </w: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jc w:val="right"/>
      </w:pPr>
      <w:r>
        <w:t>Председательствующий</w:t>
      </w:r>
    </w:p>
    <w:p w:rsidR="001437CA" w:rsidRDefault="001437CA">
      <w:pPr>
        <w:pStyle w:val="ConsPlusNormal"/>
        <w:jc w:val="right"/>
      </w:pPr>
      <w:r>
        <w:t>А.В.ПОТЕЕВА</w:t>
      </w: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jc w:val="right"/>
      </w:pPr>
      <w:r>
        <w:t>Судьи</w:t>
      </w:r>
    </w:p>
    <w:p w:rsidR="001437CA" w:rsidRDefault="001437CA">
      <w:pPr>
        <w:pStyle w:val="ConsPlusNormal"/>
        <w:jc w:val="right"/>
      </w:pPr>
      <w:r>
        <w:t>И.В.КУТУЗОВА</w:t>
      </w:r>
    </w:p>
    <w:p w:rsidR="001437CA" w:rsidRDefault="001437CA">
      <w:pPr>
        <w:pStyle w:val="ConsPlusNormal"/>
        <w:jc w:val="right"/>
      </w:pPr>
      <w:r>
        <w:t>А.А.ХОЛМИНОВ</w:t>
      </w: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jc w:val="both"/>
      </w:pPr>
    </w:p>
    <w:p w:rsidR="001437CA" w:rsidRDefault="001437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1437CA">
      <w:bookmarkStart w:id="0" w:name="_GoBack"/>
      <w:bookmarkEnd w:id="0"/>
    </w:p>
    <w:sectPr w:rsidR="001552FE" w:rsidSect="00CB39A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CA"/>
    <w:rsid w:val="001437CA"/>
    <w:rsid w:val="00321B45"/>
    <w:rsid w:val="0048677B"/>
    <w:rsid w:val="00536E16"/>
    <w:rsid w:val="005C5D8E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7C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437C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43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7C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437C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43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2636B68B97AC26CB805AEAE240A453047B7DA86169FD1966DAB61AA6A1026DBF421A366C9BF4F1CFF12F3BA9F79C37B600E18E797852FK2X2J" TargetMode="External"/><Relationship Id="rId13" Type="http://schemas.openxmlformats.org/officeDocument/2006/relationships/hyperlink" Target="consultantplus://offline/ref=C062636B68B97AC26CB805AEAE240A453047B0DC801F9FD1966DAB61AA6A1026DBF421A366CAB74A19FF12F3BA9F79C37B600E18E797852FK2X2J" TargetMode="External"/><Relationship Id="rId18" Type="http://schemas.openxmlformats.org/officeDocument/2006/relationships/hyperlink" Target="consultantplus://offline/ref=C062636B68B97AC26CB805AEAE240A453047B0DC801F9FD1966DAB61AA6A1026DBF421A366C8BD4A1BFF12F3BA9F79C37B600E18E797852FK2X2J" TargetMode="External"/><Relationship Id="rId26" Type="http://schemas.openxmlformats.org/officeDocument/2006/relationships/hyperlink" Target="consultantplus://offline/ref=C062636B68B97AC26CB805AEAE240A453047B6DE84179FD1966DAB61AA6A1026DBF421A565C9BB444DA502F7F3C87DDF727A101EF997K8X4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62636B68B97AC26CB805AEAE240A453047B6DE84179FD1966DAB61AA6A1026DBF421A366C8BF4B1AFF12F3BA9F79C37B600E18E797852FK2X2J" TargetMode="External"/><Relationship Id="rId34" Type="http://schemas.openxmlformats.org/officeDocument/2006/relationships/hyperlink" Target="consultantplus://offline/ref=C062636B68B97AC26CB805AEAE240A453046B6DB871C9FD1966DAB61AA6A1026DBF421A366C8BF491CFF12F3BA9F79C37B600E18E797852FK2X2J" TargetMode="External"/><Relationship Id="rId7" Type="http://schemas.openxmlformats.org/officeDocument/2006/relationships/hyperlink" Target="consultantplus://offline/ref=C062636B68B97AC26CB805AEAE240A453047B7DA86169FD1966DAB61AA6A1026DBF421A06FC0B41B48B013AFFCC36AC176600C1CFBK9X4J" TargetMode="External"/><Relationship Id="rId12" Type="http://schemas.openxmlformats.org/officeDocument/2006/relationships/hyperlink" Target="consultantplus://offline/ref=C062636B68B97AC26CB805AEAE240A453047B0DC801F9FD1966DAB61AA6A1026DBF421A366CAB74D1DFF12F3BA9F79C37B600E18E797852FK2X2J" TargetMode="External"/><Relationship Id="rId17" Type="http://schemas.openxmlformats.org/officeDocument/2006/relationships/hyperlink" Target="consultantplus://offline/ref=C062636B68B97AC26CB805AEAE240A453046B8DB851B9FD1966DAB61AA6A1026C9F479AF64C1A14F1DEA44A2FCKCXBJ" TargetMode="External"/><Relationship Id="rId25" Type="http://schemas.openxmlformats.org/officeDocument/2006/relationships/hyperlink" Target="consultantplus://offline/ref=C062636B68B97AC26CB805AEAE240A453047B6DE84179FD1966DAB61AA6A1026DBF421A367CABE4E12A017E6ABC776C86C7E0A02FB9587K2XCJ" TargetMode="External"/><Relationship Id="rId33" Type="http://schemas.openxmlformats.org/officeDocument/2006/relationships/hyperlink" Target="consultantplus://offline/ref=C062636B68B97AC26CB805AEAE240A453047B7DA86169FD1966DAB61AA6A1026DBF421A366C8BC481DFF12F3BA9F79C37B600E18E797852FK2X2J" TargetMode="External"/><Relationship Id="rId38" Type="http://schemas.openxmlformats.org/officeDocument/2006/relationships/hyperlink" Target="consultantplus://offline/ref=C062636B68B97AC26CB805AEAE240A453047B7DA86169FD1966DAB61AA6A1026DBF421A366C9B8481FFF12F3BA9F79C37B600E18E797852FK2X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62636B68B97AC26CB805AEAE240A453047B0DC801F9FD1966DAB61AA6A1026DBF421A366C8BC4E1AFF12F3BA9F79C37B600E18E797852FK2X2J" TargetMode="External"/><Relationship Id="rId20" Type="http://schemas.openxmlformats.org/officeDocument/2006/relationships/hyperlink" Target="consultantplus://offline/ref=C062636B68B97AC26CB805AEAE240A453047B6DE84179FD1966DAB61AA6A1026DBF421A367CABE4E12A017E6ABC776C86C7E0A02FB9587K2XCJ" TargetMode="External"/><Relationship Id="rId29" Type="http://schemas.openxmlformats.org/officeDocument/2006/relationships/hyperlink" Target="consultantplus://offline/ref=C062636B68B97AC26CB805AEAE240A453046B8DB851B9FD1966DAB61AA6A1026DBF421A366C9B94E11FF12F3BA9F79C37B600E18E797852FK2X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62636B68B97AC26CB805AEAE240A453047B7DA86169FD1966DAB61AA6A1026DBF421A366C8BD471BFF12F3BA9F79C37B600E18E797852FK2X2J" TargetMode="External"/><Relationship Id="rId11" Type="http://schemas.openxmlformats.org/officeDocument/2006/relationships/hyperlink" Target="consultantplus://offline/ref=C062636B68B97AC26CB805AEAE240A453046B8DB851B9FD1966DAB61AA6A1026DBF421A366C9BA4B1BFF12F3BA9F79C37B600E18E797852FK2X2J" TargetMode="External"/><Relationship Id="rId24" Type="http://schemas.openxmlformats.org/officeDocument/2006/relationships/hyperlink" Target="consultantplus://offline/ref=C062636B68B97AC26CB805AEAE240A453047B6DE84179FD1966DAB61AA6A1026DBF421A664CBBD444DA502F7F3C87DDF727A101EF997K8X4J" TargetMode="External"/><Relationship Id="rId32" Type="http://schemas.openxmlformats.org/officeDocument/2006/relationships/hyperlink" Target="consultantplus://offline/ref=C062636B68B97AC26CB805AEAE240A453047B7DA86169FD1966DAB61AA6A1026DBF421A366C8B9491EFF12F3BA9F79C37B600E18E797852FK2X2J" TargetMode="External"/><Relationship Id="rId37" Type="http://schemas.openxmlformats.org/officeDocument/2006/relationships/hyperlink" Target="consultantplus://offline/ref=C062636B68B97AC26CB805AEAE240A453047B7DA86169FD1966DAB61AA6A1026DBF421A366C9B84A18FF12F3BA9F79C37B600E18E797852FK2X2J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062636B68B97AC26CB805AEAE240A453047B0DC801F9FD1966DAB61AA6A1026DBF421A366C8BD4A1BFF12F3BA9F79C37B600E18E797852FK2X2J" TargetMode="External"/><Relationship Id="rId23" Type="http://schemas.openxmlformats.org/officeDocument/2006/relationships/hyperlink" Target="consultantplus://offline/ref=C062636B68B97AC26CB805AEAE240A453047B6DE84179FD1966DAB61AA6A1026DBF421A366CDBE4812A017E6ABC776C86C7E0A02FB9587K2XCJ" TargetMode="External"/><Relationship Id="rId28" Type="http://schemas.openxmlformats.org/officeDocument/2006/relationships/hyperlink" Target="consultantplus://offline/ref=C062636B68B97AC26CB805AEAE240A453047B6DE84179FD1966DAB61AA6A1026DBF421A366C8BD4611FF12F3BA9F79C37B600E18E797852FK2X2J" TargetMode="External"/><Relationship Id="rId36" Type="http://schemas.openxmlformats.org/officeDocument/2006/relationships/hyperlink" Target="consultantplus://offline/ref=C062636B68B97AC26CB805AEAE240A453047B7DA86169FD1966DAB61AA6A1026DBF421A366C9B84B1BFF12F3BA9F79C37B600E18E797852FK2X2J" TargetMode="External"/><Relationship Id="rId10" Type="http://schemas.openxmlformats.org/officeDocument/2006/relationships/hyperlink" Target="consultantplus://offline/ref=C062636B68B97AC26CB805AEAE240A453046B8DB851B9FD1966DAB61AA6A1026DBF421A366C9BA4B19FF12F3BA9F79C37B600E18E797852FK2X2J" TargetMode="External"/><Relationship Id="rId19" Type="http://schemas.openxmlformats.org/officeDocument/2006/relationships/hyperlink" Target="consultantplus://offline/ref=C062636B68B97AC26CB805AEAE240A453047B0DC801F9FD1966DAB61AA6A1026DBF421A366C8BD461DFF12F3BA9F79C37B600E18E797852FK2X2J" TargetMode="External"/><Relationship Id="rId31" Type="http://schemas.openxmlformats.org/officeDocument/2006/relationships/hyperlink" Target="consultantplus://offline/ref=C062636B68B97AC26CB805AEAE240A453047B7DA86169FD1966DAB61AA6A1026DBF421A366C8B94B10FF12F3BA9F79C37B600E18E797852FK2X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62636B68B97AC26CB805AEAE240A453047B7DA86169FD1966DAB61AA6A1026DBF421A366C9B84C1FFF12F3BA9F79C37B600E18E797852FK2X2J" TargetMode="External"/><Relationship Id="rId14" Type="http://schemas.openxmlformats.org/officeDocument/2006/relationships/hyperlink" Target="consultantplus://offline/ref=C062636B68B97AC26CB805AEAE240A453047B0DC801F9FD1966DAB61AA6A1026DBF421A366CAB74D1CFF12F3BA9F79C37B600E18E797852FK2X2J" TargetMode="External"/><Relationship Id="rId22" Type="http://schemas.openxmlformats.org/officeDocument/2006/relationships/hyperlink" Target="consultantplus://offline/ref=C062636B68B97AC26CB805AEAE240A453047B6DE84179FD1966DAB61AA6A1026DBF421A067C8B9444DA502F7F3C87DDF727A101EF997K8X4J" TargetMode="External"/><Relationship Id="rId27" Type="http://schemas.openxmlformats.org/officeDocument/2006/relationships/hyperlink" Target="consultantplus://offline/ref=C062636B68B97AC26CB805AEAE240A453047B6DE821A9FD1966DAB61AA6A1026DBF421A366C8BB4F1BFF12F3BA9F79C37B600E18E797852FK2X2J" TargetMode="External"/><Relationship Id="rId30" Type="http://schemas.openxmlformats.org/officeDocument/2006/relationships/hyperlink" Target="consultantplus://offline/ref=C062636B68B97AC26CB805AEAE240A453047B7DA86169FD1966DAB61AA6A1026DBF421A366C8B94D1DFF12F3BA9F79C37B600E18E797852FK2X2J" TargetMode="External"/><Relationship Id="rId35" Type="http://schemas.openxmlformats.org/officeDocument/2006/relationships/hyperlink" Target="consultantplus://offline/ref=C062636B68B97AC26CB805AEAE240A453047B7DA86169FD1966DAB61AA6A1026DBF421A366C8B9491FFF12F3BA9F79C37B600E18E797852FK2X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2021-04-29T09:23:00Z</dcterms:created>
  <dcterms:modified xsi:type="dcterms:W3CDTF">2021-04-29T09:24:00Z</dcterms:modified>
</cp:coreProperties>
</file>