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96" w:rsidRDefault="0030599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05996" w:rsidRDefault="00305996">
      <w:pPr>
        <w:pStyle w:val="ConsPlusNormal"/>
        <w:ind w:firstLine="540"/>
        <w:jc w:val="both"/>
        <w:outlineLvl w:val="0"/>
      </w:pPr>
    </w:p>
    <w:p w:rsidR="00305996" w:rsidRDefault="00305996">
      <w:pPr>
        <w:pStyle w:val="ConsPlusTitle"/>
        <w:jc w:val="center"/>
      </w:pPr>
      <w:r>
        <w:t xml:space="preserve">АРБИТРАЖНЫЙ СУД </w:t>
      </w:r>
      <w:proofErr w:type="gramStart"/>
      <w:r>
        <w:t>ЗАПАДНО-СИБИРСКОГО</w:t>
      </w:r>
      <w:proofErr w:type="gramEnd"/>
      <w:r>
        <w:t xml:space="preserve"> ОКРУГА</w:t>
      </w:r>
    </w:p>
    <w:p w:rsidR="00305996" w:rsidRDefault="00305996">
      <w:pPr>
        <w:pStyle w:val="ConsPlusTitle"/>
        <w:jc w:val="center"/>
      </w:pPr>
    </w:p>
    <w:p w:rsidR="00305996" w:rsidRDefault="00305996">
      <w:pPr>
        <w:pStyle w:val="ConsPlusTitle"/>
        <w:jc w:val="center"/>
      </w:pPr>
      <w:r>
        <w:t>ПОСТАНОВЛЕНИЕ</w:t>
      </w:r>
    </w:p>
    <w:p w:rsidR="00305996" w:rsidRDefault="00305996">
      <w:pPr>
        <w:pStyle w:val="ConsPlusTitle"/>
        <w:jc w:val="center"/>
      </w:pPr>
      <w:r>
        <w:t>от 11 июня 2020 г. по делу N А70-17982/2019</w:t>
      </w:r>
    </w:p>
    <w:p w:rsidR="00305996" w:rsidRDefault="00305996">
      <w:pPr>
        <w:pStyle w:val="ConsPlusNormal"/>
        <w:ind w:firstLine="540"/>
        <w:jc w:val="both"/>
      </w:pPr>
    </w:p>
    <w:p w:rsidR="00305996" w:rsidRDefault="00305996">
      <w:pPr>
        <w:pStyle w:val="ConsPlusNormal"/>
        <w:ind w:firstLine="540"/>
        <w:jc w:val="both"/>
      </w:pPr>
      <w:r>
        <w:t>Резолютивная часть постановления объявлена 10 июня 2020 года.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Постановление изготовлено в полном объеме 11 июня 2020 года.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Арбитражный суд Западно-Сибирского округа в составе: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председательствующего Черноусовой О.Ю.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судей </w:t>
      </w:r>
      <w:proofErr w:type="spellStart"/>
      <w:r>
        <w:t>Киричек</w:t>
      </w:r>
      <w:proofErr w:type="spellEnd"/>
      <w:r>
        <w:t xml:space="preserve"> Ю.Н.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Шабановой Г.А.</w:t>
      </w:r>
    </w:p>
    <w:p w:rsidR="00305996" w:rsidRDefault="00305996">
      <w:pPr>
        <w:pStyle w:val="ConsPlusNormal"/>
        <w:spacing w:before="240"/>
        <w:ind w:firstLine="540"/>
        <w:jc w:val="both"/>
      </w:pPr>
      <w:proofErr w:type="gramStart"/>
      <w:r>
        <w:t xml:space="preserve">рассмотрел в судебном заседании с использованием средств аудиозаписи кассационную жалобу общества с ограниченной ответственностью "Виктория" на решение от 13.12.2019 Арбитражного суда Тюменской области (судья </w:t>
      </w:r>
      <w:proofErr w:type="spellStart"/>
      <w:r>
        <w:t>Бадрызлова</w:t>
      </w:r>
      <w:proofErr w:type="spellEnd"/>
      <w:r>
        <w:t xml:space="preserve"> М.М.)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от 26.02.2020 Восьмого арбитражного апелляционного суда (судьи Лотов А.Н., Рыжиков О.Ю., </w:t>
      </w:r>
      <w:proofErr w:type="spellStart"/>
      <w:r>
        <w:t>Шиндлер</w:t>
      </w:r>
      <w:proofErr w:type="spellEnd"/>
      <w:r>
        <w:t xml:space="preserve"> Н.А.) по делу N А70-17982/2019 по заявлению общества с ограниченной ответственностью "Виктория" (625001, город Тюмень</w:t>
      </w:r>
      <w:proofErr w:type="gramEnd"/>
      <w:r>
        <w:t>, улица Ямская, дом 103, строение 37, офис 2, ИНН 7202257273, ОГРН 1137232066894; город Тюмень, улица Широтная, дом 167, корпус 4, квартира 34) к Управлению Федеральной антимонопольной службы по Тюменской области (625048, город Тюмень, улица Холодильная, дом 58, корпус</w:t>
      </w:r>
      <w:proofErr w:type="gramStart"/>
      <w:r>
        <w:t xml:space="preserve"> А</w:t>
      </w:r>
      <w:proofErr w:type="gramEnd"/>
      <w:r>
        <w:t>, ИНН 7202081799, ОГРН 1027200812308) об оспаривании решения.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Другое лицо, участвующее в деле, - государственное бюджетное учреждение здравоохранения Тюменской области "Перинатальный центр" (625002, город Тюмень, улица </w:t>
      </w:r>
      <w:proofErr w:type="spellStart"/>
      <w:r>
        <w:t>Даудельная</w:t>
      </w:r>
      <w:proofErr w:type="spellEnd"/>
      <w:r>
        <w:t>, дом 1, ИНН 7202070194, ОГРН 1027200803640).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В заседании приняли участие представители: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от общества с ограниченной ответственностью "Виктория" - Григорьев Н.О. по доверенности от 21.11.2019;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от Управления Федеральной антимонопольной службы по Тюменской области - Логинова Н.В. по доверенности от 09.01.2020.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Суд</w:t>
      </w:r>
    </w:p>
    <w:p w:rsidR="00305996" w:rsidRDefault="00305996">
      <w:pPr>
        <w:pStyle w:val="ConsPlusNormal"/>
        <w:jc w:val="center"/>
      </w:pPr>
    </w:p>
    <w:p w:rsidR="00305996" w:rsidRDefault="00305996">
      <w:pPr>
        <w:pStyle w:val="ConsPlusNormal"/>
        <w:jc w:val="center"/>
      </w:pPr>
      <w:r>
        <w:t>установил:</w:t>
      </w:r>
    </w:p>
    <w:p w:rsidR="00305996" w:rsidRDefault="00305996">
      <w:pPr>
        <w:pStyle w:val="ConsPlusNormal"/>
        <w:jc w:val="center"/>
      </w:pPr>
    </w:p>
    <w:p w:rsidR="00305996" w:rsidRDefault="00305996">
      <w:pPr>
        <w:pStyle w:val="ConsPlusNormal"/>
        <w:ind w:firstLine="540"/>
        <w:jc w:val="both"/>
      </w:pPr>
      <w:r>
        <w:t>общество с ограниченной ответственностью "Виктория" (далее - общество, ООО "Виктория") обратилось в Арбитражный суд Тюменской области с заявлением о признании недействительным решения Управления Федеральной антимонопольной службы по Тюменской области (далее - управление, антимонопольный орган) от 27.09.2019 по делу N РНП-72-156/19 о проверке факта уклонения участника закупки от заключения контракта.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lastRenderedPageBreak/>
        <w:t>К участию в деле в качестве третьего лица, не заявляющего самостоятельных требований относительно предмета спора, привлечено государственное бюджетное учреждение здравоохранения Тюменской области "Перинатальный центр" (далее - ГБУЗ ТО "Перинатальный центр", заказчик).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Решением от 13.12.2019 Арбитражного суда Тюменской области, оставленным без изменения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от 26.02.2020 Восьмого арбитражного апелляционного суда, в удовлетворении заявленного требования отказано.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В кассационной жалобе, поданной в Арбитражный суд Западно-Сибирского округа, ООО "Виктория" просит отменить принятые по делу судебные акты, ссылаясь на нарушение норм права, несоответствие выводов судов обстоятельствам дела, и удовлетворить заявленное требование.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По мнению подателя кассационной жалобы, общество не имело намерений уклониться и не отказывалось от заключения контракта; подписание контракта было невозможно в силу непредвиденных обстоятельств и по не зависящим от него обстоятельствам (повреждение кабельной линии сети Интернет).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В отзыве на кассационную жалобу антимонопольный орган просит оставить оспариваемые судебные акты без изменения как соответствующие действующему законодательству.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ГБУЗ ТО "Перинатальный центр" отзыв на кассационную жалобу в порядке </w:t>
      </w:r>
      <w:hyperlink r:id="rId8" w:history="1">
        <w:r>
          <w:rPr>
            <w:color w:val="0000FF"/>
          </w:rPr>
          <w:t>статьи 279</w:t>
        </w:r>
      </w:hyperlink>
      <w:r>
        <w:t xml:space="preserve"> Арбитражного процессуального кодекса Российской Федерации (далее - АПК РФ) не представило.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Проверив в соответствии со </w:t>
      </w:r>
      <w:hyperlink r:id="rId9" w:history="1">
        <w:r>
          <w:rPr>
            <w:color w:val="0000FF"/>
          </w:rPr>
          <w:t>статьями 284</w:t>
        </w:r>
      </w:hyperlink>
      <w:r>
        <w:t xml:space="preserve">, </w:t>
      </w:r>
      <w:hyperlink r:id="rId10" w:history="1">
        <w:r>
          <w:rPr>
            <w:color w:val="0000FF"/>
          </w:rPr>
          <w:t>286</w:t>
        </w:r>
      </w:hyperlink>
      <w:r>
        <w:t xml:space="preserve"> АПК РФ обоснованность доводов, изложенных в кассационной жалобе, отзыве на нее и выступлениях присутствующих в заседании представителей участвующих в деле лиц, суд кассационной инстанции не усматривает оснований для ее удовлетворения.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Как следует из материалов дела и установлено судами, ООО "Виктория" признано победителем электронного аукциона N 0167200003419004086 на поставку полотенец бумажных для нужд ГБУЗ ТО "Перинатальный центр" согласно протоколу подведения итогов аукциона от 29.08.2019.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Названный протокол и проект контракта </w:t>
      </w:r>
      <w:proofErr w:type="gramStart"/>
      <w:r>
        <w:t>размещены</w:t>
      </w:r>
      <w:proofErr w:type="gramEnd"/>
      <w:r>
        <w:t xml:space="preserve"> заказчиком в единой информационной системе.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Ссылаясь на </w:t>
      </w:r>
      <w:proofErr w:type="spellStart"/>
      <w:r>
        <w:t>неподписание</w:t>
      </w:r>
      <w:proofErr w:type="spellEnd"/>
      <w:r>
        <w:t xml:space="preserve"> обществом указанного контракта и непредставление обеспечения его исполнения в установленный действующим законодательством срок (до 09.09.2019 включительно), заказчик 10.09.2019 составил протокол о признании победителя аукциона уклонившимся от заключения контракта и направил данную информацию в антимонопольный орган.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Решением управления от 27.09.2019 N РНП-72-156/19 факт уклонения ООО "Виктория" от заключения контракта по результатам вышеназванного аукциона признан подтвердившимся; сведения об обществе (учредителе и директоре) включены в реестр недобросовестных поставщиков сроком на два года.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Не согласившись с указанным решением антимонопольного органа, общество обратилось в арбитражный суд с настоящим заявлением.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lastRenderedPageBreak/>
        <w:t>Отказывая в удовлетворении заявленного требования, суды первой и апелляционной инстанций пришли к выводу о налич</w:t>
      </w:r>
      <w:proofErr w:type="gramStart"/>
      <w:r>
        <w:t>ии у у</w:t>
      </w:r>
      <w:proofErr w:type="gramEnd"/>
      <w:r>
        <w:t>правления оснований для включения сведений в отношении общества в реестр недобросовестных поставщиков.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Суд кассационной инстанции, оставляя без </w:t>
      </w:r>
      <w:proofErr w:type="gramStart"/>
      <w:r>
        <w:t>изменения</w:t>
      </w:r>
      <w:proofErr w:type="gramEnd"/>
      <w:r>
        <w:t xml:space="preserve"> обжалуемые судебные акты, исходит из доводов кассационной жалобы и конкретных обстоятельств дела.</w:t>
      </w:r>
    </w:p>
    <w:p w:rsidR="00305996" w:rsidRDefault="00305996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со </w:t>
      </w:r>
      <w:hyperlink r:id="rId11" w:history="1">
        <w:r>
          <w:rPr>
            <w:color w:val="0000FF"/>
          </w:rPr>
          <w:t>статьей 104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</w:t>
      </w:r>
      <w:proofErr w:type="gramEnd"/>
      <w:r>
        <w:t xml:space="preserve"> одностороннего отказа заказчика от исполнения контракта в связи с существенным нарушением ими условий контрактов.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победитель определения поставщика (подрядчика, исполнителя) признан уклонившимся от заключения контракта,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информацию, предусмотренную </w:t>
      </w:r>
      <w:hyperlink r:id="rId12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3" w:history="1">
        <w:r>
          <w:rPr>
            <w:color w:val="0000FF"/>
          </w:rPr>
          <w:t>3 части 3 названной статьи</w:t>
        </w:r>
      </w:hyperlink>
      <w:r>
        <w:t xml:space="preserve">, а также документы, свидетельствующие об уклонении победителя от заключения контракта </w:t>
      </w:r>
      <w:hyperlink r:id="rId14" w:history="1">
        <w:r>
          <w:rPr>
            <w:color w:val="0000FF"/>
          </w:rPr>
          <w:t>(часть 4)</w:t>
        </w:r>
      </w:hyperlink>
      <w:r>
        <w:t>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Ведение реестра, в том числе включение (исключение) в реестр информации о недобросовестных поставщиках (подрядчиках, исполнителях) осуществляется Федеральной антимонопольной службой (</w:t>
      </w:r>
      <w:hyperlink r:id="rId15" w:history="1">
        <w:r>
          <w:rPr>
            <w:color w:val="0000FF"/>
          </w:rPr>
          <w:t>пункт 4</w:t>
        </w:r>
      </w:hyperlink>
      <w:r>
        <w:t xml:space="preserve"> Правил ведения реестра недобросовестных поставщиков (подрядчиков, исполнителей), утвержденных постановлением Правительства Российской Федерации от 25.11.2013 N 1062, далее - Правила N 1062).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6" w:history="1">
        <w:r>
          <w:rPr>
            <w:color w:val="0000FF"/>
          </w:rPr>
          <w:t>части 7 статьи 104</w:t>
        </w:r>
      </w:hyperlink>
      <w:r>
        <w:t xml:space="preserve"> Закона о контрактной системе, </w:t>
      </w:r>
      <w:hyperlink r:id="rId17" w:history="1">
        <w:r>
          <w:rPr>
            <w:color w:val="0000FF"/>
          </w:rPr>
          <w:t>пунктам 11</w:t>
        </w:r>
      </w:hyperlink>
      <w:r>
        <w:t xml:space="preserve">, </w:t>
      </w:r>
      <w:hyperlink r:id="rId18" w:history="1">
        <w:r>
          <w:rPr>
            <w:color w:val="0000FF"/>
          </w:rPr>
          <w:t>12</w:t>
        </w:r>
      </w:hyperlink>
      <w:r>
        <w:t xml:space="preserve"> Правил N 1062 уполномоченный орган осуществляет проверку поступивших к нему информации и документов, на наличие фактов, подтверждающих недобросовестность поставщика (подрядчика, исполнителя). В случае подтверждения достоверности указанных фактов уполномоченный орган выносит решение о включении информации о недобросовестном поставщике (подрядчике, исполнителе). В ином случае уполномоченный орган выносит решение об отказе во включении информации о поставщике (подрядчике, исполнителе) в реестр.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Как следует из оспариваемого решения антимонопольного органа, основанием для включения сведений об обществе, его директоре (учредителе) в реестр недобросовестных поставщиков послужил факт признания его уклонившимся от заключения контракта.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По общему правилу победитель электронной процедуры признается </w:t>
      </w:r>
      <w:proofErr w:type="gramStart"/>
      <w:r>
        <w:t>заказчиком</w:t>
      </w:r>
      <w:proofErr w:type="gramEnd"/>
      <w:r>
        <w:t xml:space="preserve"> уклонившимся от заключения контракта в случае, если в сроки, предусмотренные </w:t>
      </w:r>
      <w:hyperlink r:id="rId19" w:history="1">
        <w:r>
          <w:rPr>
            <w:color w:val="0000FF"/>
          </w:rPr>
          <w:t>статьей 83.2</w:t>
        </w:r>
      </w:hyperlink>
      <w:r>
        <w:t xml:space="preserve"> Закона о контрактной системе,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</w:t>
      </w:r>
      <w:hyperlink r:id="rId20" w:history="1">
        <w:r>
          <w:rPr>
            <w:color w:val="0000FF"/>
          </w:rPr>
          <w:t>частью 4 данной статьи</w:t>
        </w:r>
      </w:hyperlink>
      <w:r>
        <w:t xml:space="preserve">, или не исполнил требования, предусмотренные </w:t>
      </w:r>
      <w:hyperlink r:id="rId21" w:history="1">
        <w:r>
          <w:rPr>
            <w:color w:val="0000FF"/>
          </w:rPr>
          <w:t>статьей 37</w:t>
        </w:r>
      </w:hyperlink>
      <w:r>
        <w:t xml:space="preserve"> Закона о контрактной системе (в случае снижения при проведении электронного аукциона или конкурса цены контракта на двадцать пять процентов и более от начальной (максимальной) цены контракта). </w:t>
      </w:r>
      <w:proofErr w:type="gramStart"/>
      <w:r>
        <w:t xml:space="preserve">При этом заказчик не позднее одного рабочего дня, следующего за днем признания победителя электронной процедуры уклонившимся от заключения контракта, составляет и размещает </w:t>
      </w:r>
      <w:r>
        <w:lastRenderedPageBreak/>
        <w:t>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контракта, содержащий информацию о месте и времени его составления, о победителе, признанном уклонившимся от заключения контракта, о</w:t>
      </w:r>
      <w:proofErr w:type="gramEnd"/>
      <w:r>
        <w:t xml:space="preserve"> факте, являющемся основанием для такого признания, а также реквизиты документов, подтверждающих этот факт</w:t>
      </w:r>
      <w:proofErr w:type="gramStart"/>
      <w:r>
        <w:t>.</w:t>
      </w:r>
      <w:proofErr w:type="gramEnd"/>
      <w:r>
        <w:t xml:space="preserve"> (</w:t>
      </w:r>
      <w:hyperlink r:id="rId22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асть 13 статьи 83.2</w:t>
        </w:r>
      </w:hyperlink>
      <w:r>
        <w:t xml:space="preserve"> Закона о контрактной системе).</w:t>
      </w:r>
    </w:p>
    <w:p w:rsidR="00305996" w:rsidRDefault="00305996">
      <w:pPr>
        <w:pStyle w:val="ConsPlusNormal"/>
        <w:spacing w:before="240"/>
        <w:ind w:firstLine="540"/>
        <w:jc w:val="both"/>
      </w:pPr>
      <w:proofErr w:type="gramStart"/>
      <w:r>
        <w:t xml:space="preserve">В силу </w:t>
      </w:r>
      <w:hyperlink r:id="rId23" w:history="1">
        <w:r>
          <w:rPr>
            <w:color w:val="0000FF"/>
          </w:rPr>
          <w:t>части 3 статьи 83.2</w:t>
        </w:r>
      </w:hyperlink>
      <w:r>
        <w:t xml:space="preserve">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</w:t>
      </w:r>
      <w:proofErr w:type="gramEnd"/>
      <w:r>
        <w:t xml:space="preserve"> размещает протокол разногласий, предусмотренный </w:t>
      </w:r>
      <w:hyperlink r:id="rId24" w:history="1">
        <w:r>
          <w:rPr>
            <w:color w:val="0000FF"/>
          </w:rPr>
          <w:t>частью 4 названной статьи</w:t>
        </w:r>
      </w:hyperlink>
      <w:r>
        <w:t>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Исследовав и оценив по правилам </w:t>
      </w:r>
      <w:hyperlink r:id="rId25" w:history="1">
        <w:r>
          <w:rPr>
            <w:color w:val="0000FF"/>
          </w:rPr>
          <w:t>статьи 71</w:t>
        </w:r>
      </w:hyperlink>
      <w:r>
        <w:t xml:space="preserve"> АПК </w:t>
      </w:r>
      <w:proofErr w:type="gramStart"/>
      <w:r>
        <w:t>РФ</w:t>
      </w:r>
      <w:proofErr w:type="gramEnd"/>
      <w:r>
        <w:t xml:space="preserve"> имеющиеся в деле доказательства, суды первой и апелляционной инстанций установили, что ООО "Виктория" в предусмотренный </w:t>
      </w:r>
      <w:hyperlink r:id="rId26" w:history="1">
        <w:r>
          <w:rPr>
            <w:color w:val="0000FF"/>
          </w:rPr>
          <w:t>Законом</w:t>
        </w:r>
      </w:hyperlink>
      <w:r>
        <w:t xml:space="preserve"> о контрактной системе срок не подписан размещенный заказчиком в единой информационной системе проект контракта по результатам электронного аукциона и не представлено обеспечение его исполнения; обстоятельств, объективно препятствующих обществу своевременно совершить необходимые для заключения контракта действия, не выявлено; отсутствие 09.09.2019 доступа к сети Интернет (поломка кабельной линии) в помещении общества само по себе не являлось непреодолимым препятствием, свидетельствующим о невозможности подписания контракта с использованием иных вариантов.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Как верно отмечено судами, принимая решение об участии в закупке в электронной форме и подавая соответствующую заявку, участник закупки должен учитывать специфику документооборота на электронной </w:t>
      </w:r>
      <w:proofErr w:type="gramStart"/>
      <w:r>
        <w:t>площадке</w:t>
      </w:r>
      <w:proofErr w:type="gramEnd"/>
      <w:r>
        <w:t xml:space="preserve"> и несет риск наступления неблагоприятных последствий в случае признания его победителем и уклонения от заключения контракта. </w:t>
      </w:r>
      <w:proofErr w:type="gramStart"/>
      <w:r>
        <w:t>При этом уклонение от заключения контракта может выражаться как в совершении действий, осуществленных с указанной целью, так и в их совершении по неосторожности, либо в бездействии, когда участник закупки по небрежности не принимает достаточных мер по соблюдению норм и правил, необходимых для заключения контракта, чем создает условия, влекущие невозможность подписания контракта.</w:t>
      </w:r>
      <w:proofErr w:type="gramEnd"/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С учетом изложенного суды пришли к обоснованному выводу о том, что в рассматриваемой ситуации ООО "Виктория" не была проявлена та степень заботливости и осмотрительности, которая от него требовалась при участии в аукционе в целях удовлетворения государственных (муниципальных) нужд, в </w:t>
      </w:r>
      <w:proofErr w:type="gramStart"/>
      <w:r>
        <w:t>связи</w:t>
      </w:r>
      <w:proofErr w:type="gramEnd"/>
      <w:r>
        <w:t xml:space="preserve"> с чем согласились с позицией управления, признавшего поведение победителя аукциона при заключении контракта по результатам аукциона не отвечающим требованиям добросовестности и разумности и включившего его в реестр недобросовестных поставщиков.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>При таких обстоятельствах суды правомерно отказали в удовлетворении заявленного обществом требования.</w:t>
      </w:r>
    </w:p>
    <w:p w:rsidR="00305996" w:rsidRDefault="00305996">
      <w:pPr>
        <w:pStyle w:val="ConsPlusNormal"/>
        <w:spacing w:before="240"/>
        <w:ind w:firstLine="540"/>
        <w:jc w:val="both"/>
      </w:pPr>
      <w:proofErr w:type="gramStart"/>
      <w:r>
        <w:t xml:space="preserve">Доводы подателя кассационной жалобы об отсутствии факта его недобросовестного поведения, о наличии уважительных причин, препятствующих своевременному подписанию контракта, и несоразмерности меры ответственности допущенному нарушению по существу направлены на иную оценку установленных судами нижестоящих инстанций фактических обстоятельств дела и представленных участниками спора доказательств, что в силу положений </w:t>
      </w:r>
      <w:hyperlink r:id="rId27" w:history="1">
        <w:r>
          <w:rPr>
            <w:color w:val="0000FF"/>
          </w:rPr>
          <w:t>главы 35</w:t>
        </w:r>
      </w:hyperlink>
      <w:r>
        <w:t xml:space="preserve"> АПК РФ не допускается при </w:t>
      </w:r>
      <w:r>
        <w:lastRenderedPageBreak/>
        <w:t>рассмотрении дела в суде кассационной инстанции.</w:t>
      </w:r>
      <w:proofErr w:type="gramEnd"/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Суд округа не усматривает предусмотренных </w:t>
      </w:r>
      <w:hyperlink r:id="rId28" w:history="1">
        <w:r>
          <w:rPr>
            <w:color w:val="0000FF"/>
          </w:rPr>
          <w:t>статьей 288</w:t>
        </w:r>
      </w:hyperlink>
      <w:r>
        <w:t xml:space="preserve"> АПК РФ оснований для отмены или изменения обжалуемых судебных актов и удовлетворения кассационной жалобы.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29" w:history="1">
        <w:r>
          <w:rPr>
            <w:color w:val="0000FF"/>
          </w:rPr>
          <w:t>пунктом 1 части 1 статьи 287</w:t>
        </w:r>
      </w:hyperlink>
      <w:r>
        <w:t xml:space="preserve">, </w:t>
      </w:r>
      <w:hyperlink r:id="rId30" w:history="1">
        <w:r>
          <w:rPr>
            <w:color w:val="0000FF"/>
          </w:rPr>
          <w:t>статьей 289</w:t>
        </w:r>
      </w:hyperlink>
      <w:r>
        <w:t xml:space="preserve"> Арбитражного процессуального кодекса Российской Федерации, Арбитражный суд Западно-Сибирского округа</w:t>
      </w:r>
    </w:p>
    <w:p w:rsidR="00305996" w:rsidRDefault="00305996">
      <w:pPr>
        <w:pStyle w:val="ConsPlusNormal"/>
        <w:jc w:val="center"/>
      </w:pPr>
    </w:p>
    <w:p w:rsidR="00305996" w:rsidRDefault="00305996">
      <w:pPr>
        <w:pStyle w:val="ConsPlusNormal"/>
        <w:jc w:val="center"/>
      </w:pPr>
      <w:r>
        <w:t>постановил:</w:t>
      </w:r>
    </w:p>
    <w:p w:rsidR="00305996" w:rsidRDefault="00305996">
      <w:pPr>
        <w:pStyle w:val="ConsPlusNormal"/>
        <w:jc w:val="center"/>
      </w:pPr>
    </w:p>
    <w:p w:rsidR="00305996" w:rsidRDefault="00305996">
      <w:pPr>
        <w:pStyle w:val="ConsPlusNormal"/>
        <w:ind w:firstLine="540"/>
        <w:jc w:val="both"/>
      </w:pPr>
      <w:r>
        <w:t xml:space="preserve">решение от 13.12.2019 Арбитражного суда Тюменской области и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от 26.02.2020 Восьмого арбитражного апелляционного суда по делу N А70-17982/2019 оставить без изменения, кассационную жалобу - без удовлетворения.</w:t>
      </w:r>
    </w:p>
    <w:p w:rsidR="00305996" w:rsidRDefault="00305996">
      <w:pPr>
        <w:pStyle w:val="ConsPlusNormal"/>
        <w:spacing w:before="240"/>
        <w:ind w:firstLine="540"/>
        <w:jc w:val="both"/>
      </w:pPr>
      <w:r>
        <w:t xml:space="preserve">Постановление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32" w:history="1">
        <w:r>
          <w:rPr>
            <w:color w:val="0000FF"/>
          </w:rPr>
          <w:t>статьей 291.1</w:t>
        </w:r>
      </w:hyperlink>
      <w:r>
        <w:t xml:space="preserve"> Арбитражного процессуального кодекса Российской Федерации.</w:t>
      </w:r>
    </w:p>
    <w:p w:rsidR="00305996" w:rsidRDefault="00305996">
      <w:pPr>
        <w:pStyle w:val="ConsPlusNormal"/>
        <w:ind w:firstLine="540"/>
        <w:jc w:val="both"/>
      </w:pPr>
    </w:p>
    <w:p w:rsidR="00305996" w:rsidRDefault="00305996">
      <w:pPr>
        <w:pStyle w:val="ConsPlusNormal"/>
        <w:jc w:val="right"/>
      </w:pPr>
      <w:r>
        <w:t>Председательствующий</w:t>
      </w:r>
    </w:p>
    <w:p w:rsidR="00305996" w:rsidRDefault="00305996">
      <w:pPr>
        <w:pStyle w:val="ConsPlusNormal"/>
        <w:jc w:val="right"/>
      </w:pPr>
      <w:r>
        <w:t>О.Ю.ЧЕРНОУСОВА</w:t>
      </w:r>
    </w:p>
    <w:p w:rsidR="00305996" w:rsidRDefault="00305996">
      <w:pPr>
        <w:pStyle w:val="ConsPlusNormal"/>
        <w:jc w:val="right"/>
      </w:pPr>
    </w:p>
    <w:p w:rsidR="00305996" w:rsidRDefault="00305996">
      <w:pPr>
        <w:pStyle w:val="ConsPlusNormal"/>
        <w:jc w:val="right"/>
      </w:pPr>
      <w:r>
        <w:t>Судьи</w:t>
      </w:r>
    </w:p>
    <w:p w:rsidR="00305996" w:rsidRDefault="00305996">
      <w:pPr>
        <w:pStyle w:val="ConsPlusNormal"/>
        <w:jc w:val="right"/>
      </w:pPr>
      <w:r>
        <w:t>Ю.Н.КИРИЧЕК</w:t>
      </w:r>
    </w:p>
    <w:p w:rsidR="00305996" w:rsidRDefault="00305996">
      <w:pPr>
        <w:pStyle w:val="ConsPlusNormal"/>
        <w:jc w:val="right"/>
      </w:pPr>
      <w:r>
        <w:t>Г.А.ШАБАНОВА</w:t>
      </w:r>
    </w:p>
    <w:p w:rsidR="00305996" w:rsidRDefault="00305996">
      <w:pPr>
        <w:pStyle w:val="ConsPlusNormal"/>
        <w:ind w:firstLine="540"/>
        <w:jc w:val="both"/>
      </w:pPr>
    </w:p>
    <w:p w:rsidR="00305996" w:rsidRDefault="00305996">
      <w:pPr>
        <w:pStyle w:val="ConsPlusNormal"/>
        <w:ind w:firstLine="540"/>
        <w:jc w:val="both"/>
      </w:pPr>
    </w:p>
    <w:p w:rsidR="00305996" w:rsidRDefault="003059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A93AE1">
      <w:bookmarkStart w:id="0" w:name="_GoBack"/>
      <w:bookmarkEnd w:id="0"/>
    </w:p>
    <w:sectPr w:rsidR="001552FE" w:rsidSect="00AE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96"/>
    <w:rsid w:val="00305996"/>
    <w:rsid w:val="00536E16"/>
    <w:rsid w:val="005C5D8E"/>
    <w:rsid w:val="00957F33"/>
    <w:rsid w:val="00963F56"/>
    <w:rsid w:val="009B3926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9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059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059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9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3059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3059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53C72C64E8018F19E967C0F0811749215566FCDAB70AAA0CD2086B08230159F6804BB6672692320AD5F7EA3DCD54207EBB152334095D77Q3TDF" TargetMode="External"/><Relationship Id="rId13" Type="http://schemas.openxmlformats.org/officeDocument/2006/relationships/hyperlink" Target="consultantplus://offline/ref=7A53C72C64E8018F19E967C0F081174921546BFDDEBB0AAA0CD2086B08230159F6804BB667269F3609D5F7EA3DCD54207EBB152334095D77Q3TDF" TargetMode="External"/><Relationship Id="rId18" Type="http://schemas.openxmlformats.org/officeDocument/2006/relationships/hyperlink" Target="consultantplus://offline/ref=7A53C72C64E8018F19E967C0F0811749215466F7D8B10AAA0CD2086B08230159F6804BB667279A340DD5F7EA3DCD54207EBB152334095D77Q3TDF" TargetMode="External"/><Relationship Id="rId26" Type="http://schemas.openxmlformats.org/officeDocument/2006/relationships/hyperlink" Target="consultantplus://offline/ref=7A53C72C64E8018F19E967C0F081174921546BFDDEBB0AAA0CD2086B08230159E48013BA6720843602C0A1BB7BQ9T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53C72C64E8018F19E967C0F081174921546BFDDEBB0AAA0CD2086B08230159F6804BB667279E350DD5F7EA3DCD54207EBB152334095D77Q3TD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A53C72C64E8018F19E979C0F7E949442A5D31F3DBB001FB58800E3C5773070CB6C04DE33663CF3B0AD9BDBB71865B207BQAT5F" TargetMode="External"/><Relationship Id="rId12" Type="http://schemas.openxmlformats.org/officeDocument/2006/relationships/hyperlink" Target="consultantplus://offline/ref=7A53C72C64E8018F19E967C0F081174921546BFDDEBB0AAA0CD2086B08230159F6804BB6672692340DD5F7EA3DCD54207EBB152334095D77Q3TDF" TargetMode="External"/><Relationship Id="rId17" Type="http://schemas.openxmlformats.org/officeDocument/2006/relationships/hyperlink" Target="consultantplus://offline/ref=7A53C72C64E8018F19E967C0F0811749215466F7D8B10AAA0CD2086B08230159F6804BB46C73CB725FD3A3BC6798513E7BA517Q2TBF" TargetMode="External"/><Relationship Id="rId25" Type="http://schemas.openxmlformats.org/officeDocument/2006/relationships/hyperlink" Target="consultantplus://offline/ref=7A53C72C64E8018F19E967C0F0811749215566FCDAB70AAA0CD2086B08230159F6804BB667279E3703D5F7EA3DCD54207EBB152334095D77Q3TD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53C72C64E8018F19E967C0F081174921546BFDDEBB0AAA0CD2086B08230159F6804BB66621983D5E8FE7EE74985E3E79AD0B292A09Q5TDF" TargetMode="External"/><Relationship Id="rId20" Type="http://schemas.openxmlformats.org/officeDocument/2006/relationships/hyperlink" Target="consultantplus://offline/ref=7A53C72C64E8018F19E967C0F081174921546BFDDEBB0AAA0CD2086B08230159F6804BBE612691625B9AF6B6799F472071BB172B28Q0TBF" TargetMode="External"/><Relationship Id="rId29" Type="http://schemas.openxmlformats.org/officeDocument/2006/relationships/hyperlink" Target="consultantplus://offline/ref=7A53C72C64E8018F19E967C0F0811749215566FCDAB70AAA0CD2086B08230159F6804BB66726923E02D5F7EA3DCD54207EBB152334095D77Q3T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53C72C64E8018F19E979C0F7E949442A5D31F3DBB001FB58800E3C5773070CB6C04DE33663CF3B0AD9BDBB71865B207BQAT5F" TargetMode="External"/><Relationship Id="rId11" Type="http://schemas.openxmlformats.org/officeDocument/2006/relationships/hyperlink" Target="consultantplus://offline/ref=7A53C72C64E8018F19E967C0F081174921546BFDDEBB0AAA0CD2086B08230159F6804BB667269E3F0DD5F7EA3DCD54207EBB152334095D77Q3TDF" TargetMode="External"/><Relationship Id="rId24" Type="http://schemas.openxmlformats.org/officeDocument/2006/relationships/hyperlink" Target="consultantplus://offline/ref=7A53C72C64E8018F19E967C0F081174921546BFDDEBB0AAA0CD2086B08230159F6804BBE612691625B9AF6B6799F472071BB172B28Q0TBF" TargetMode="External"/><Relationship Id="rId32" Type="http://schemas.openxmlformats.org/officeDocument/2006/relationships/hyperlink" Target="consultantplus://offline/ref=7A53C72C64E8018F19E967C0F0811749215566FCDAB70AAA0CD2086B08230159F6804BB66121993D5E8FE7EE74985E3E79AD0B292A09Q5TD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A53C72C64E8018F19E967C0F0811749215466F7D8B10AAA0CD2086B08230159F6804BB667279A3E0DD5F7EA3DCD54207EBB152334095D77Q3TDF" TargetMode="External"/><Relationship Id="rId23" Type="http://schemas.openxmlformats.org/officeDocument/2006/relationships/hyperlink" Target="consultantplus://offline/ref=7A53C72C64E8018F19E967C0F081174921546BFDDEBB0AAA0CD2086B08230159F6804BB664279B3D5E8FE7EE74985E3E79AD0B292A09Q5TDF" TargetMode="External"/><Relationship Id="rId28" Type="http://schemas.openxmlformats.org/officeDocument/2006/relationships/hyperlink" Target="consultantplus://offline/ref=7A53C72C64E8018F19E967C0F0811749215566FCDAB70AAA0CD2086B08230159F6804BB6672F9E3D5E8FE7EE74985E3E79AD0B292A09Q5TDF" TargetMode="External"/><Relationship Id="rId10" Type="http://schemas.openxmlformats.org/officeDocument/2006/relationships/hyperlink" Target="consultantplus://offline/ref=7A53C72C64E8018F19E967C0F0811749215566FCDAB70AAA0CD2086B08230159F6804BB66726923E08D5F7EA3DCD54207EBB152334095D77Q3TDF" TargetMode="External"/><Relationship Id="rId19" Type="http://schemas.openxmlformats.org/officeDocument/2006/relationships/hyperlink" Target="consultantplus://offline/ref=7A53C72C64E8018F19E967C0F081174921546BFDDEBB0AAA0CD2086B08230159F6804BBE622091625B9AF6B6799F472071BB172B28Q0TBF" TargetMode="External"/><Relationship Id="rId31" Type="http://schemas.openxmlformats.org/officeDocument/2006/relationships/hyperlink" Target="consultantplus://offline/ref=7A53C72C64E8018F19E979C0F7E949442A5D31F3DBB001FB58800E3C5773070CB6C04DE33663CF3B0AD9BDBB71865B207BQAT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53C72C64E8018F19E967C0F0811749215566FCDAB70AAA0CD2086B08230159F6804BB6672692310CD5F7EA3DCD54207EBB152334095D77Q3TDF" TargetMode="External"/><Relationship Id="rId14" Type="http://schemas.openxmlformats.org/officeDocument/2006/relationships/hyperlink" Target="consultantplus://offline/ref=7A53C72C64E8018F19E967C0F081174921546BFDDEBB0AAA0CD2086B08230159F6804BB4632791625B9AF6B6799F472071BB172B28Q0TBF" TargetMode="External"/><Relationship Id="rId22" Type="http://schemas.openxmlformats.org/officeDocument/2006/relationships/hyperlink" Target="consultantplus://offline/ref=7A53C72C64E8018F19E967C0F081174921546BFDDEBB0AAA0CD2086B08230159F6804BB66427993D5E8FE7EE74985E3E79AD0B292A09Q5TDF" TargetMode="External"/><Relationship Id="rId27" Type="http://schemas.openxmlformats.org/officeDocument/2006/relationships/hyperlink" Target="consultantplus://offline/ref=7A53C72C64E8018F19E967C0F0811749215566FCDAB70AAA0CD2086B08230159F6804BB16E2691625B9AF6B6799F472071BB172B28Q0TBF" TargetMode="External"/><Relationship Id="rId30" Type="http://schemas.openxmlformats.org/officeDocument/2006/relationships/hyperlink" Target="consultantplus://offline/ref=7A53C72C64E8018F19E967C0F0811749215566FCDAB70AAA0CD2086B08230159F6804BB6672693370AD5F7EA3DCD54207EBB152334095D77Q3T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2020-08-07T05:19:00Z</dcterms:created>
  <dcterms:modified xsi:type="dcterms:W3CDTF">2020-08-07T05:38:00Z</dcterms:modified>
</cp:coreProperties>
</file>