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31" w:rsidRDefault="0001413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14131" w:rsidRDefault="00014131">
      <w:pPr>
        <w:pStyle w:val="ConsPlusNormal"/>
        <w:ind w:firstLine="540"/>
        <w:jc w:val="both"/>
        <w:outlineLvl w:val="0"/>
      </w:pPr>
    </w:p>
    <w:p w:rsidR="00014131" w:rsidRDefault="00014131">
      <w:pPr>
        <w:pStyle w:val="ConsPlusTitle"/>
        <w:jc w:val="center"/>
      </w:pPr>
      <w:r>
        <w:t>АРБИТРАЖНЫЙ СУД Г. МОСКВЫ</w:t>
      </w:r>
    </w:p>
    <w:p w:rsidR="00014131" w:rsidRDefault="00014131">
      <w:pPr>
        <w:pStyle w:val="ConsPlusTitle"/>
        <w:jc w:val="center"/>
      </w:pPr>
    </w:p>
    <w:p w:rsidR="00014131" w:rsidRDefault="00014131">
      <w:pPr>
        <w:pStyle w:val="ConsPlusTitle"/>
        <w:jc w:val="center"/>
      </w:pPr>
      <w:r>
        <w:t>Именем Российской Федерации</w:t>
      </w:r>
    </w:p>
    <w:p w:rsidR="00014131" w:rsidRDefault="00014131">
      <w:pPr>
        <w:pStyle w:val="ConsPlusTitle"/>
        <w:jc w:val="center"/>
      </w:pPr>
    </w:p>
    <w:p w:rsidR="00014131" w:rsidRDefault="00014131">
      <w:pPr>
        <w:pStyle w:val="ConsPlusTitle"/>
        <w:jc w:val="center"/>
      </w:pPr>
      <w:r>
        <w:t>РЕШЕНИЕ</w:t>
      </w:r>
    </w:p>
    <w:p w:rsidR="00014131" w:rsidRDefault="00014131">
      <w:pPr>
        <w:pStyle w:val="ConsPlusTitle"/>
        <w:jc w:val="center"/>
      </w:pPr>
      <w:r>
        <w:t>от 16 ноября 2016 г. по делу N А40-102547/16-181-881</w:t>
      </w:r>
    </w:p>
    <w:p w:rsidR="00014131" w:rsidRDefault="00014131">
      <w:pPr>
        <w:pStyle w:val="ConsPlusNormal"/>
        <w:ind w:firstLine="540"/>
        <w:jc w:val="both"/>
      </w:pPr>
    </w:p>
    <w:p w:rsidR="00014131" w:rsidRDefault="00014131">
      <w:pPr>
        <w:pStyle w:val="ConsPlusNormal"/>
        <w:ind w:firstLine="540"/>
        <w:jc w:val="both"/>
      </w:pPr>
      <w:r>
        <w:t>Резолютивная часть решения объявлена 25 октября 2016 года.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>Решение в полном объеме изготовлено 16 ноября 2016 года.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>Арбитражный суд города Москвы в составе: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>судьи Прижбилова С.В.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>при ведении протокола секретарем Закаевой П.Р.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>рассмотрев в открытом судебном заседании дело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>по иску ООО "Консалтинговая группа Лекич и</w:t>
      </w:r>
      <w:proofErr w:type="gramStart"/>
      <w:r>
        <w:t xml:space="preserve"> К</w:t>
      </w:r>
      <w:proofErr w:type="gramEnd"/>
      <w:r>
        <w:t>о" (ОГРН 5107746038692, ИНН 7720704902, адрес: 111394, г. Москва, ул. Полимерная, д. 15/32, дата регистрации: 20.12.2010)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>к ФГУП "Почта России" (ОГРН 1037724007276, ИНН 7724261610, адрес: 131000, г. Москва, Варшавское шоссе, д. 37, дата регистрации: 13.02.2003)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>о взыскании 1 687 515,52 рублей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>при участии в судебном заседании представителей: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>от истца: Васильев Б.Ю., доверенность от 15.06.2016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>от ответчика: Гусейнова Д.Э., доверенность от 18.10.2016</w:t>
      </w:r>
    </w:p>
    <w:p w:rsidR="00014131" w:rsidRDefault="00014131">
      <w:pPr>
        <w:pStyle w:val="ConsPlusNormal"/>
        <w:jc w:val="center"/>
      </w:pPr>
    </w:p>
    <w:p w:rsidR="00014131" w:rsidRDefault="00014131">
      <w:pPr>
        <w:pStyle w:val="ConsPlusNormal"/>
        <w:jc w:val="center"/>
      </w:pPr>
      <w:r>
        <w:t>установил:</w:t>
      </w:r>
    </w:p>
    <w:p w:rsidR="00014131" w:rsidRDefault="00014131">
      <w:pPr>
        <w:pStyle w:val="ConsPlusNormal"/>
        <w:jc w:val="center"/>
      </w:pPr>
    </w:p>
    <w:p w:rsidR="00014131" w:rsidRDefault="00014131">
      <w:pPr>
        <w:pStyle w:val="ConsPlusNormal"/>
        <w:ind w:firstLine="540"/>
        <w:jc w:val="both"/>
      </w:pPr>
      <w:r>
        <w:t>ООО "Консалтинговая группа Лекич и</w:t>
      </w:r>
      <w:proofErr w:type="gramStart"/>
      <w:r>
        <w:t xml:space="preserve"> К</w:t>
      </w:r>
      <w:proofErr w:type="gramEnd"/>
      <w:r>
        <w:t>о" (далее истец) обратилось в Арбитражный суд города Москвы с исковыми требованиями к ФГУП "Почта России" (далее ответчик) о взыскании 1 687 515,52 рублей фактически понесенных расходов, связанных с исполнением обязательств по договору об оказании услуг от 21.04.2015 N 184-15.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>В исковом заявлении истец также просит суд разрешить вопрос о распределении судебных расходов, понесенных им в связи рассмотрением настоящего дела - взыскать с ответчика расходы на оплату услуг представителя в размере 50 000 рублей, а также сумму уплаченной государственной пошлины 29 875 рублей.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>Представитель истца заявленные требования поддержал, просил суд удовлетворить их в полном объеме. Устно озвучил доводы, на которых основаны заявленные исковые требования.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 xml:space="preserve">Представитель ответчика возражал против заявленных требований, представил письменный отзыв. В порядке </w:t>
      </w:r>
      <w:hyperlink r:id="rId6" w:history="1">
        <w:r>
          <w:rPr>
            <w:color w:val="0000FF"/>
          </w:rPr>
          <w:t>статьи 131</w:t>
        </w:r>
      </w:hyperlink>
      <w:r>
        <w:t xml:space="preserve"> Арбитражного процессуального кодекса Российской Федерации судом приобщен к материалам дела письменный отзыв ответчика.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lastRenderedPageBreak/>
        <w:t xml:space="preserve">Суд, выслушав представителей истца, ответчика, исследовав материалы дела и оценив в соответствии со </w:t>
      </w:r>
      <w:hyperlink r:id="rId7" w:history="1">
        <w:r>
          <w:rPr>
            <w:color w:val="0000FF"/>
          </w:rPr>
          <w:t>статьей 71</w:t>
        </w:r>
      </w:hyperlink>
      <w:r>
        <w:t xml:space="preserve"> Арбитражного процессуального кодекса Российской Федерации в совокупности представленные доказательства, пришел к выводу о том, что заявленные исковые требования подлежат частичному удовлетворению по следующим основаниям.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>21 апреля 2015 г. между истцом, ООО "Консалтинговая группа Лекич и</w:t>
      </w:r>
      <w:proofErr w:type="gramStart"/>
      <w:r>
        <w:t xml:space="preserve"> К</w:t>
      </w:r>
      <w:proofErr w:type="gramEnd"/>
      <w:r>
        <w:t>о" и ФГУП "Почта России" был заключен договор N 184-15 об оказании услуг по организации и проведению мероприятий (конференций) для работников ФГУП "Почта России" в 2015 г.</w:t>
      </w:r>
    </w:p>
    <w:p w:rsidR="00014131" w:rsidRDefault="00014131">
      <w:pPr>
        <w:pStyle w:val="ConsPlusNormal"/>
        <w:spacing w:before="240"/>
        <w:ind w:firstLine="540"/>
        <w:jc w:val="both"/>
      </w:pPr>
      <w:proofErr w:type="gramStart"/>
      <w:r>
        <w:t>Во исполнение условий договора, как считает истец, исполнитель произвел работу, вложил денежные средства, заключил соответствующие договоры, подыскал места для проведения мероприятий, и т.п. действия, т.е. затратил денежные средства. 15 мая 2015 года за N 66 исполнитель направил заказчику извещение о согласовании дат проведения мероприятий в соответствии с приложением N 2 к договору.</w:t>
      </w:r>
      <w:proofErr w:type="gramEnd"/>
      <w:r>
        <w:t xml:space="preserve"> Данное уведомление было оставлено заказчиком без ответа.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>29 мая 2015 года за N 69-1 ответчику было направлено повторное извещение о согласовании дат проведения мероприятий в соответствии с заключенным договором, указаны тематика, время проведения, место, наименование отелей, другие сведения. Предложение было оставлено без ответа.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>29 мая 2015 года за N 212311-17/10469 в адрес истца поступило уведомление о расторжении договора в одностороннем, внесудебном порядке.</w:t>
      </w:r>
    </w:p>
    <w:p w:rsidR="00014131" w:rsidRDefault="00014131">
      <w:pPr>
        <w:pStyle w:val="ConsPlusNormal"/>
        <w:spacing w:before="240"/>
        <w:ind w:firstLine="540"/>
        <w:jc w:val="both"/>
      </w:pPr>
      <w:proofErr w:type="gramStart"/>
      <w:r>
        <w:t>Истец считает, что ответчик обязан оплатить фактически понесенные затраты, которые состоят из следующих расходов: расходы на подготовку заявки для участия в конкурсе в размере 119058 рублей, проценты за пользование данными заемными средствами в сумме 100 096 рублей 62, за выдачу банковской гарантии в сумме 233 080 рублей, поиск мест проведения мероприятий в Москве в размере 78120 рублей, поиск мест проведения</w:t>
      </w:r>
      <w:proofErr w:type="gramEnd"/>
      <w:r>
        <w:t xml:space="preserve"> </w:t>
      </w:r>
      <w:proofErr w:type="gramStart"/>
      <w:r>
        <w:t>мероприятий в Московской области в размере 80000, расходы на оплату услуг по поиску гостиниц в размере 45570 рублей, расходы на оплату работников в размере 13020,10 рублей, накладные расходы в размере 346972,94 рублей, упущенная прибыль в размере 260229,71 рублей, расходы по НДС в размере 234206,73 рублей, услуги адвоката по переговорам о расторжении договора в размере 15 000 рублей, итого 1525355,26 рублей.</w:t>
      </w:r>
      <w:proofErr w:type="gramEnd"/>
    </w:p>
    <w:p w:rsidR="00014131" w:rsidRDefault="00014131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8" w:history="1">
        <w:r>
          <w:rPr>
            <w:color w:val="0000FF"/>
          </w:rPr>
          <w:t>пункта 1 статьи 782</w:t>
        </w:r>
      </w:hyperlink>
      <w:r>
        <w:t xml:space="preserve"> Гражданского кодекса Российской Федерации, заказчик вправе отказаться от исполнения договора возмездного оказания услуг при условии оплаты исполнителю фактически понесенных им расходов.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>По смыслу данных норм права, причина отказа от договора не имеет значения. Необходимо только, чтобы заказчик оплатил исполнителю фактически понесенные им расходы, связанные с исполнением заключенного сторонами договора.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>При этом исполнитель должен доказать, что расходы были понесены до отказа от договора и вызваны исполнением или подготовкой к его исполнению. К таким расходам не относятся обычные внутренние затраты.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9" w:history="1">
        <w:r>
          <w:rPr>
            <w:color w:val="0000FF"/>
          </w:rPr>
          <w:t>пункта 1 статьи 779</w:t>
        </w:r>
      </w:hyperlink>
      <w:r>
        <w:t xml:space="preserve"> Гражданского кодекса Российской Федерации, 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- оплатить эти услуги.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>Понесенные исполнителем расходы должны быть обусловлены его действиями по исполнению договора возмездного оказания услуг.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 xml:space="preserve">В соответствии с пунктом 2.1.2 Договора исполнитель обязан для каждого мероприятия в отдельности согласовать с заказчиком программу, срок и место проведения мероприятия, состав </w:t>
      </w:r>
      <w:r>
        <w:lastRenderedPageBreak/>
        <w:t>работников, принимающих участие в каждом мероприятии, включенном в перечень мероприятий, согласовать проект (концепцию) с различными вариантами условий проведения мероприятий, с учетом пожеланий заказчика.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>Таким образом, с учетом буквального толкования данного пункта, суд приходит к выводу о том, что обязательство истца, являющееся предметом договора, обусловлено совершением со стороны ответчика определенных действий, и не может исполняться до получения заявки от последнего.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 xml:space="preserve">В судебном заседании представитель истца пояснил, что вышеперечисленные расходы обусловлены подготовкой к конференции "Стратегия развития IT направления. Планы развития IT направления на 2015 год", предварительная </w:t>
      </w:r>
      <w:proofErr w:type="gramStart"/>
      <w:r>
        <w:t>дата</w:t>
      </w:r>
      <w:proofErr w:type="gramEnd"/>
      <w:r>
        <w:t xml:space="preserve"> проведения </w:t>
      </w:r>
      <w:proofErr w:type="gramStart"/>
      <w:r>
        <w:t>которой</w:t>
      </w:r>
      <w:proofErr w:type="gramEnd"/>
      <w:r>
        <w:t xml:space="preserve"> назначена на 2 квартал. (Приложение N 2 к договору).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 xml:space="preserve">Вместе с тем, истец не представил доказательства получения заявки на проведение указанного мероприятия, в </w:t>
      </w:r>
      <w:proofErr w:type="gramStart"/>
      <w:r>
        <w:t>связи</w:t>
      </w:r>
      <w:proofErr w:type="gramEnd"/>
      <w:r>
        <w:t xml:space="preserve"> с чем суд пришел к выводу о том, что указанные расходы понесены истцом преждевременно без соответствующего согласования их с заказчиком.</w:t>
      </w:r>
    </w:p>
    <w:p w:rsidR="00014131" w:rsidRDefault="00014131">
      <w:pPr>
        <w:pStyle w:val="ConsPlusNormal"/>
        <w:spacing w:before="240"/>
        <w:ind w:firstLine="540"/>
        <w:jc w:val="both"/>
      </w:pPr>
      <w:proofErr w:type="gramStart"/>
      <w:r>
        <w:t>С учетом изложенного требования истца о взыскании процентов за пользование заемными средствами в сумме 100 096 рублей 62, расходов, связанных с поиском мест проведения мероприятий в Москве в размере 78 120 рублей, поиском мест проведения мероприятий в Московской области в размере 80 000, расходов на оплату услуг по поиску гостиниц в размере 45 570 рублей, расходов на оплату работников в</w:t>
      </w:r>
      <w:proofErr w:type="gramEnd"/>
      <w:r>
        <w:t xml:space="preserve"> </w:t>
      </w:r>
      <w:proofErr w:type="gramStart"/>
      <w:r>
        <w:t>размере</w:t>
      </w:r>
      <w:proofErr w:type="gramEnd"/>
      <w:r>
        <w:t xml:space="preserve"> 13 020,10 рублей, накладных расходов в размере 346 972,94 рублей, расходов по НДС в размере 234 206,73 рублей, а также расходов по оплате услуг адвоката по переговорам о расторжении договора в размере 15 000 рублей взысканию с ответчика не подлежат.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 xml:space="preserve">Требование истца о взыскании с ответчика упущенной выгоды в размере 260 229,71 рублей удовлетворению не подлежит, поскольку на основании </w:t>
      </w:r>
      <w:hyperlink r:id="rId10" w:history="1">
        <w:r>
          <w:rPr>
            <w:color w:val="0000FF"/>
          </w:rPr>
          <w:t>статьи 782</w:t>
        </w:r>
      </w:hyperlink>
      <w:r>
        <w:t xml:space="preserve"> Гражданского кодекса Российской Федерации возмещению подлежат не убытки, а фактически понесенные расходы.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 xml:space="preserve">Суд признает обоснованным требование истца </w:t>
      </w:r>
      <w:proofErr w:type="gramStart"/>
      <w:r>
        <w:t>о взыскании расходов на подготовку заявки для участия в конкурсе в размере</w:t>
      </w:r>
      <w:proofErr w:type="gramEnd"/>
      <w:r>
        <w:t xml:space="preserve"> 119 058 рублей и расходов за выдачу банковской гарантии в сумме 233 080 рублей, поскольку ни являются вынужденными расходами, необходимыми для заключения расторгнутого договора услуг.</w:t>
      </w:r>
    </w:p>
    <w:p w:rsidR="00014131" w:rsidRDefault="00014131">
      <w:pPr>
        <w:pStyle w:val="ConsPlusNormal"/>
        <w:spacing w:before="240"/>
        <w:ind w:firstLine="540"/>
        <w:jc w:val="both"/>
      </w:pPr>
      <w:proofErr w:type="gramStart"/>
      <w:r>
        <w:t>Таким образом, расходы на подготовку заявки для участия в конкурсе в размере 119 058 рублей и за выдачу банковской гарантии в сумме 233 080 рублей это расходы в счет еще не оказанных услуг в связи с односторонним отказом заказчика от договора и в соответствии с вышеизложенным являются фактическими расходами, поскольку были необходимы для заключения договора.</w:t>
      </w:r>
      <w:proofErr w:type="gramEnd"/>
    </w:p>
    <w:p w:rsidR="00014131" w:rsidRDefault="00014131">
      <w:pPr>
        <w:pStyle w:val="ConsPlusNormal"/>
        <w:spacing w:before="240"/>
        <w:ind w:firstLine="540"/>
        <w:jc w:val="both"/>
      </w:pPr>
      <w:r>
        <w:t>Истцом заявлено требование о взыскании процентов за пользование чужими денежными средствами в размере 111 160,26 руб. за период с 29.05.2015 по 15.04.2016 г.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1" w:history="1">
        <w:r>
          <w:rPr>
            <w:color w:val="0000FF"/>
          </w:rPr>
          <w:t>ст. 395</w:t>
        </w:r>
      </w:hyperlink>
      <w:r>
        <w:t xml:space="preserve"> Гражданского кодекса Российской Федерации за пользование чужими денежными средствами вследствие их неправомерного удержания, уклонения от их возврата, иной просрочки в их уплате либо неосновательного получения или сбережения за счет другого лица подлежат уплате проценты на сумму этих средств.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 xml:space="preserve">Суд считает, что истец неверно указан период начисления процентов за пользование чужими денежными средствами, поскольку требование об оплате фактических расходов ответчиком получено 10 июня 2015 года, в </w:t>
      </w:r>
      <w:proofErr w:type="gramStart"/>
      <w:r>
        <w:t>связи</w:t>
      </w:r>
      <w:proofErr w:type="gramEnd"/>
      <w:r>
        <w:t xml:space="preserve"> с чем они подлежат начислению с 11.06.2016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 xml:space="preserve">С учетом частичного удовлетворения исковых требований, произведя перерасчет процентов за пользование чужими денежными средствами, суд считает, что требование о взыскании процентов за пользование чужими денежными средствами за период </w:t>
      </w:r>
      <w:proofErr w:type="gramStart"/>
      <w:r>
        <w:t>с</w:t>
      </w:r>
      <w:proofErr w:type="gramEnd"/>
      <w:r>
        <w:t xml:space="preserve"> подлежит </w:t>
      </w:r>
      <w:proofErr w:type="gramStart"/>
      <w:r>
        <w:t>удовлетворению</w:t>
      </w:r>
      <w:proofErr w:type="gramEnd"/>
      <w:r>
        <w:t xml:space="preserve"> в размере 28 358,75 </w:t>
      </w:r>
      <w:r>
        <w:lastRenderedPageBreak/>
        <w:t>рублей.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 xml:space="preserve">Судебные расходы, связанные с уплатой госпошлины, подлежат распределению между сторонами в соответствии со </w:t>
      </w:r>
      <w:hyperlink r:id="rId12" w:history="1">
        <w:r>
          <w:rPr>
            <w:color w:val="0000FF"/>
          </w:rPr>
          <w:t>статьей 110</w:t>
        </w:r>
      </w:hyperlink>
      <w:r>
        <w:t xml:space="preserve"> Арбитражного процессуального кодекса Российской Федерации.</w:t>
      </w:r>
    </w:p>
    <w:p w:rsidR="00014131" w:rsidRDefault="00014131">
      <w:pPr>
        <w:pStyle w:val="ConsPlusNormal"/>
        <w:spacing w:before="240"/>
        <w:ind w:firstLine="540"/>
        <w:jc w:val="both"/>
      </w:pPr>
      <w:proofErr w:type="gramStart"/>
      <w:r>
        <w:t xml:space="preserve">На основании </w:t>
      </w:r>
      <w:hyperlink r:id="rId13" w:history="1">
        <w:r>
          <w:rPr>
            <w:color w:val="0000FF"/>
          </w:rPr>
          <w:t>статей 8</w:t>
        </w:r>
      </w:hyperlink>
      <w:r>
        <w:t xml:space="preserve">, </w:t>
      </w:r>
      <w:hyperlink r:id="rId14" w:history="1">
        <w:r>
          <w:rPr>
            <w:color w:val="0000FF"/>
          </w:rPr>
          <w:t>9</w:t>
        </w:r>
      </w:hyperlink>
      <w:r>
        <w:t xml:space="preserve">, </w:t>
      </w:r>
      <w:hyperlink r:id="rId15" w:history="1">
        <w:r>
          <w:rPr>
            <w:color w:val="0000FF"/>
          </w:rPr>
          <w:t>11</w:t>
        </w:r>
      </w:hyperlink>
      <w:r>
        <w:t xml:space="preserve">, </w:t>
      </w:r>
      <w:hyperlink r:id="rId16" w:history="1">
        <w:r>
          <w:rPr>
            <w:color w:val="0000FF"/>
          </w:rPr>
          <w:t>12</w:t>
        </w:r>
      </w:hyperlink>
      <w:r>
        <w:t xml:space="preserve">, </w:t>
      </w:r>
      <w:hyperlink r:id="rId17" w:history="1">
        <w:r>
          <w:rPr>
            <w:color w:val="0000FF"/>
          </w:rPr>
          <w:t>779</w:t>
        </w:r>
      </w:hyperlink>
      <w:r>
        <w:t xml:space="preserve">, </w:t>
      </w:r>
      <w:hyperlink r:id="rId18" w:history="1">
        <w:r>
          <w:rPr>
            <w:color w:val="0000FF"/>
          </w:rPr>
          <w:t>781</w:t>
        </w:r>
      </w:hyperlink>
      <w:r>
        <w:t xml:space="preserve">, </w:t>
      </w:r>
      <w:hyperlink r:id="rId19" w:history="1">
        <w:r>
          <w:rPr>
            <w:color w:val="0000FF"/>
          </w:rPr>
          <w:t>782</w:t>
        </w:r>
      </w:hyperlink>
      <w:r>
        <w:t xml:space="preserve">, </w:t>
      </w:r>
      <w:hyperlink r:id="rId20" w:history="1">
        <w:r>
          <w:rPr>
            <w:color w:val="0000FF"/>
          </w:rPr>
          <w:t>395</w:t>
        </w:r>
      </w:hyperlink>
      <w:r>
        <w:t xml:space="preserve">, Гражданского кодекса Российской Федерации, руководствуясь </w:t>
      </w:r>
      <w:hyperlink r:id="rId21" w:history="1">
        <w:r>
          <w:rPr>
            <w:color w:val="0000FF"/>
          </w:rPr>
          <w:t>статьями 4</w:t>
        </w:r>
      </w:hyperlink>
      <w:r>
        <w:t xml:space="preserve">, </w:t>
      </w:r>
      <w:hyperlink r:id="rId22" w:history="1">
        <w:r>
          <w:rPr>
            <w:color w:val="0000FF"/>
          </w:rPr>
          <w:t>65</w:t>
        </w:r>
      </w:hyperlink>
      <w:r>
        <w:t>,</w:t>
      </w:r>
      <w:proofErr w:type="gramEnd"/>
      <w:r>
        <w:t xml:space="preserve"> </w:t>
      </w:r>
      <w:hyperlink r:id="rId23" w:history="1">
        <w:r>
          <w:rPr>
            <w:color w:val="0000FF"/>
          </w:rPr>
          <w:t>110</w:t>
        </w:r>
      </w:hyperlink>
      <w:r>
        <w:t xml:space="preserve">, </w:t>
      </w:r>
      <w:hyperlink r:id="rId24" w:history="1">
        <w:r>
          <w:rPr>
            <w:color w:val="0000FF"/>
          </w:rPr>
          <w:t>167</w:t>
        </w:r>
      </w:hyperlink>
      <w:r>
        <w:t xml:space="preserve">, </w:t>
      </w:r>
      <w:hyperlink r:id="rId25" w:history="1">
        <w:r>
          <w:rPr>
            <w:color w:val="0000FF"/>
          </w:rPr>
          <w:t>168</w:t>
        </w:r>
      </w:hyperlink>
      <w:r>
        <w:t xml:space="preserve">, </w:t>
      </w:r>
      <w:hyperlink r:id="rId26" w:history="1">
        <w:r>
          <w:rPr>
            <w:color w:val="0000FF"/>
          </w:rPr>
          <w:t>169</w:t>
        </w:r>
      </w:hyperlink>
      <w:r>
        <w:t xml:space="preserve">, </w:t>
      </w:r>
      <w:hyperlink r:id="rId27" w:history="1">
        <w:r>
          <w:rPr>
            <w:color w:val="0000FF"/>
          </w:rPr>
          <w:t>170</w:t>
        </w:r>
      </w:hyperlink>
      <w:r>
        <w:t xml:space="preserve">, </w:t>
      </w:r>
      <w:hyperlink r:id="rId28" w:history="1">
        <w:r>
          <w:rPr>
            <w:color w:val="0000FF"/>
          </w:rPr>
          <w:t>171</w:t>
        </w:r>
      </w:hyperlink>
      <w:r>
        <w:t xml:space="preserve">, </w:t>
      </w:r>
      <w:hyperlink r:id="rId29" w:history="1">
        <w:r>
          <w:rPr>
            <w:color w:val="0000FF"/>
          </w:rPr>
          <w:t>181</w:t>
        </w:r>
      </w:hyperlink>
      <w:r>
        <w:t xml:space="preserve"> Арбитражного процессуального кодекса Российской Федерации, суд</w:t>
      </w:r>
    </w:p>
    <w:p w:rsidR="00014131" w:rsidRDefault="00014131">
      <w:pPr>
        <w:pStyle w:val="ConsPlusNormal"/>
        <w:jc w:val="center"/>
      </w:pPr>
    </w:p>
    <w:p w:rsidR="00014131" w:rsidRDefault="00014131">
      <w:pPr>
        <w:pStyle w:val="ConsPlusNormal"/>
        <w:jc w:val="center"/>
      </w:pPr>
      <w:r>
        <w:t>решил:</w:t>
      </w:r>
    </w:p>
    <w:p w:rsidR="00014131" w:rsidRDefault="00014131">
      <w:pPr>
        <w:pStyle w:val="ConsPlusNormal"/>
        <w:jc w:val="center"/>
      </w:pPr>
    </w:p>
    <w:p w:rsidR="00014131" w:rsidRDefault="00014131">
      <w:pPr>
        <w:pStyle w:val="ConsPlusNormal"/>
        <w:ind w:firstLine="540"/>
        <w:jc w:val="both"/>
      </w:pPr>
      <w:r>
        <w:t>Исковые требования Общества с ограниченной ответственностью "Консалтинговая группа Лекич и</w:t>
      </w:r>
      <w:proofErr w:type="gramStart"/>
      <w:r>
        <w:t xml:space="preserve"> К</w:t>
      </w:r>
      <w:proofErr w:type="gramEnd"/>
      <w:r>
        <w:t>о" (ОГРН 5107746038692, ИНН 7720704902, адрес: 111394, г. Москва, ул. Полимерная, д. 15/32, дата регистрации: 20.12.2010) к Федеральному государственному унитарному предприятию "Почта России" (ОГРН 1037724007276, ИНН 7724261610, адрес: 131000, г. Москва, Варшавское шоссе, д. 37, дата регистрации: 13.02.2003) удовлетворить частично.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>Взыскать с Федерального государственного унитарного предприятия "Почта России" в пользу Общества с ограниченной ответственностью "Консалтинговая группа Лекич и Ко" фактически понесенные расходы в размере 352 138 (триста пятьдесят две тысячи сто тридцать восемь) рублей 79 коп., проценты за пользование чужими денежными средствами в сумме 28 358 (двадцать восемь тысяч триста пятьдесят восемь) рублей 75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удебные расходы по оплате государственной пошлины в размере 6 946 (шесть тысяч девятьсот сорок шесть) рублей.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>В остальной части в иске отказать.</w:t>
      </w:r>
    </w:p>
    <w:p w:rsidR="00014131" w:rsidRDefault="00014131">
      <w:pPr>
        <w:pStyle w:val="ConsPlusNormal"/>
        <w:spacing w:before="240"/>
        <w:ind w:firstLine="540"/>
        <w:jc w:val="both"/>
      </w:pPr>
      <w:r>
        <w:t xml:space="preserve">Решение может быть </w:t>
      </w:r>
      <w:hyperlink r:id="rId30" w:history="1">
        <w:r>
          <w:rPr>
            <w:color w:val="0000FF"/>
          </w:rPr>
          <w:t>обжаловано</w:t>
        </w:r>
      </w:hyperlink>
      <w:r>
        <w:t xml:space="preserve"> в Девятый арбитражный апелляционный суд в месячный срок с даты изготовления решения в полном объеме.</w:t>
      </w:r>
    </w:p>
    <w:p w:rsidR="00014131" w:rsidRDefault="00014131">
      <w:pPr>
        <w:pStyle w:val="ConsPlusNormal"/>
        <w:ind w:firstLine="540"/>
        <w:jc w:val="both"/>
      </w:pPr>
    </w:p>
    <w:p w:rsidR="00014131" w:rsidRDefault="00014131">
      <w:pPr>
        <w:pStyle w:val="ConsPlusNormal"/>
        <w:jc w:val="right"/>
      </w:pPr>
      <w:r>
        <w:t>Судья</w:t>
      </w:r>
    </w:p>
    <w:p w:rsidR="00014131" w:rsidRDefault="00014131">
      <w:pPr>
        <w:pStyle w:val="ConsPlusNormal"/>
        <w:jc w:val="right"/>
      </w:pPr>
      <w:r>
        <w:t>С.В.ПРИЖБИЛОВ</w:t>
      </w:r>
    </w:p>
    <w:p w:rsidR="00014131" w:rsidRDefault="00014131">
      <w:pPr>
        <w:pStyle w:val="ConsPlusNormal"/>
        <w:ind w:firstLine="540"/>
        <w:jc w:val="both"/>
      </w:pPr>
    </w:p>
    <w:p w:rsidR="00014131" w:rsidRDefault="00014131">
      <w:pPr>
        <w:pStyle w:val="ConsPlusNormal"/>
        <w:ind w:firstLine="540"/>
        <w:jc w:val="both"/>
      </w:pPr>
    </w:p>
    <w:p w:rsidR="00014131" w:rsidRDefault="000141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2FE" w:rsidRDefault="00014131">
      <w:bookmarkStart w:id="0" w:name="_GoBack"/>
      <w:bookmarkEnd w:id="0"/>
    </w:p>
    <w:sectPr w:rsidR="001552FE" w:rsidSect="008801B5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31"/>
    <w:rsid w:val="00014131"/>
    <w:rsid w:val="00321B45"/>
    <w:rsid w:val="0048677B"/>
    <w:rsid w:val="00536E16"/>
    <w:rsid w:val="005C5D8E"/>
    <w:rsid w:val="00852EFF"/>
    <w:rsid w:val="00957F33"/>
    <w:rsid w:val="00963F56"/>
    <w:rsid w:val="009B3926"/>
    <w:rsid w:val="00CA5555"/>
    <w:rsid w:val="00CF6166"/>
    <w:rsid w:val="00D255F1"/>
    <w:rsid w:val="00D7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13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01413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0141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13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01413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0141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98C8142466226235F18835697B1E2ED785CA545D48CCEA28CB71B2559999E6159AF5E22EB0571E03831C5AA90A6DE827D369873B2999C4p453H" TargetMode="External"/><Relationship Id="rId13" Type="http://schemas.openxmlformats.org/officeDocument/2006/relationships/hyperlink" Target="consultantplus://offline/ref=E698C8142466226235F18835697B1E2ED48CC2535E48CCEA28CB71B2559999E6159AF5E22EB1541903831C5AA90A6DE827D369873B2999C4p453H" TargetMode="External"/><Relationship Id="rId18" Type="http://schemas.openxmlformats.org/officeDocument/2006/relationships/hyperlink" Target="consultantplus://offline/ref=E698C8142466226235F18835697B1E2ED785CA545D48CCEA28CB71B2559999E6159AF5E22EB0571E06831C5AA90A6DE827D369873B2999C4p453H" TargetMode="External"/><Relationship Id="rId26" Type="http://schemas.openxmlformats.org/officeDocument/2006/relationships/hyperlink" Target="consultantplus://offline/ref=E698C8142466226235F18835697B1E2ED785C65F5047CCEA28CB71B2559999E6159AF5E22EB0541A03831C5AA90A6DE827D369873B2999C4p453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698C8142466226235F18835697B1E2ED785C65F5047CCEA28CB71B2559999E6159AF5E22EB1541F00831C5AA90A6DE827D369873B2999C4p453H" TargetMode="External"/><Relationship Id="rId7" Type="http://schemas.openxmlformats.org/officeDocument/2006/relationships/hyperlink" Target="consultantplus://offline/ref=E698C8142466226235F18835697B1E2ED785C65F5047CCEA28CB71B2559999E6159AF5E22EB1501C0D831C5AA90A6DE827D369873B2999C4p453H" TargetMode="External"/><Relationship Id="rId12" Type="http://schemas.openxmlformats.org/officeDocument/2006/relationships/hyperlink" Target="consultantplus://offline/ref=E698C8142466226235F18835697B1E2ED785C65F5047CCEA28CB71B2559999E6159AF5E22EB1521B02831C5AA90A6DE827D369873B2999C4p453H" TargetMode="External"/><Relationship Id="rId17" Type="http://schemas.openxmlformats.org/officeDocument/2006/relationships/hyperlink" Target="consultantplus://offline/ref=E698C8142466226235F18835697B1E2ED785CA545D48CCEA28CB71B2559999E6159AF5E22EB0571F03831C5AA90A6DE827D369873B2999C4p453H" TargetMode="External"/><Relationship Id="rId25" Type="http://schemas.openxmlformats.org/officeDocument/2006/relationships/hyperlink" Target="consultantplus://offline/ref=E698C8142466226235F18835697B1E2ED785C65F5047CCEA28CB71B2559999E6159AF5E22EB0541A07831C5AA90A6DE827D369873B2999C4p453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698C8142466226235F18835697B1E2ED48CC2535E48CCEA28CB71B2559999E6159AF5E22EB1541A05831C5AA90A6DE827D369873B2999C4p453H" TargetMode="External"/><Relationship Id="rId20" Type="http://schemas.openxmlformats.org/officeDocument/2006/relationships/hyperlink" Target="consultantplus://offline/ref=E698C8142466226235F18835697B1E2ED48CC2535E48CCEA28CB71B2559999E6159AF5E22EB05C1403831C5AA90A6DE827D369873B2999C4p453H" TargetMode="External"/><Relationship Id="rId29" Type="http://schemas.openxmlformats.org/officeDocument/2006/relationships/hyperlink" Target="consultantplus://offline/ref=E698C8142466226235F18835697B1E2ED785C65F5047CCEA28CB71B2559999E6159AF5E028B15F4955CC1D06ED5E7EE825D36B8427p25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698C8142466226235F18835697B1E2ED785C65F5047CCEA28CB71B2559999E6159AF5E428BA004C40DD450BEC4160EB38CF6986p254H" TargetMode="External"/><Relationship Id="rId11" Type="http://schemas.openxmlformats.org/officeDocument/2006/relationships/hyperlink" Target="consultantplus://offline/ref=E698C8142466226235F18835697B1E2ED48CC2535E48CCEA28CB71B2559999E6159AF5E22EB05C1403831C5AA90A6DE827D369873B2999C4p453H" TargetMode="External"/><Relationship Id="rId24" Type="http://schemas.openxmlformats.org/officeDocument/2006/relationships/hyperlink" Target="consultantplus://offline/ref=E698C8142466226235F18835697B1E2ED785C65F5047CCEA28CB71B2559999E6159AF5E22EB0541B03831C5AA90A6DE827D369873B2999C4p453H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698C8142466226235F18835697B1E2ED48CC2535E48CCEA28CB71B2559999E6159AF5E22EB1541B0C831C5AA90A6DE827D369873B2999C4p453H" TargetMode="External"/><Relationship Id="rId23" Type="http://schemas.openxmlformats.org/officeDocument/2006/relationships/hyperlink" Target="consultantplus://offline/ref=E698C8142466226235F18835697B1E2ED785C65F5047CCEA28CB71B2559999E6159AF5E22EB1521B02831C5AA90A6DE827D369873B2999C4p453H" TargetMode="External"/><Relationship Id="rId28" Type="http://schemas.openxmlformats.org/officeDocument/2006/relationships/hyperlink" Target="consultantplus://offline/ref=E698C8142466226235F18835697B1E2ED785C65F5047CCEA28CB71B2559999E6159AF5E22EB0541403831C5AA90A6DE827D369873B2999C4p453H" TargetMode="External"/><Relationship Id="rId10" Type="http://schemas.openxmlformats.org/officeDocument/2006/relationships/hyperlink" Target="consultantplus://offline/ref=E698C8142466226235F18835697B1E2ED785CA545D48CCEA28CB71B2559999E6159AF5E22EB0571E02831C5AA90A6DE827D369873B2999C4p453H" TargetMode="External"/><Relationship Id="rId19" Type="http://schemas.openxmlformats.org/officeDocument/2006/relationships/hyperlink" Target="consultantplus://offline/ref=E698C8142466226235F18835697B1E2ED785CA545D48CCEA28CB71B2559999E6159AF5E22EB0571E02831C5AA90A6DE827D369873B2999C4p453H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98C8142466226235F18835697B1E2ED785CA545D48CCEA28CB71B2559999E6159AF5E22EB0571F0C831C5AA90A6DE827D369873B2999C4p453H" TargetMode="External"/><Relationship Id="rId14" Type="http://schemas.openxmlformats.org/officeDocument/2006/relationships/hyperlink" Target="consultantplus://offline/ref=E698C8142466226235F18835697B1E2ED48CC2535E48CCEA28CB71B2559999E6159AF5E22EB1541B04831C5AA90A6DE827D369873B2999C4p453H" TargetMode="External"/><Relationship Id="rId22" Type="http://schemas.openxmlformats.org/officeDocument/2006/relationships/hyperlink" Target="consultantplus://offline/ref=E698C8142466226235F18835697B1E2ED785C65F5047CCEA28CB71B2559999E6159AF5E22EB1571A00831C5AA90A6DE827D369873B2999C4p453H" TargetMode="External"/><Relationship Id="rId27" Type="http://schemas.openxmlformats.org/officeDocument/2006/relationships/hyperlink" Target="consultantplus://offline/ref=E698C8142466226235F18835697B1E2ED785C65F5047CCEA28CB71B2559999E6159AF5E22EB0541507831C5AA90A6DE827D369873B2999C4p453H" TargetMode="External"/><Relationship Id="rId30" Type="http://schemas.openxmlformats.org/officeDocument/2006/relationships/hyperlink" Target="consultantplus://offline/ref=E698C8142466226235F189356C024B7DDB8DC0565A4BC5BA7FC920E75B9C91B65D8AA9A77BBC541C1A884B15EF5F62pE5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Epselan</dc:creator>
  <cp:lastModifiedBy>Epselan</cp:lastModifiedBy>
  <cp:revision>1</cp:revision>
  <dcterms:created xsi:type="dcterms:W3CDTF">2021-03-01T07:57:00Z</dcterms:created>
  <dcterms:modified xsi:type="dcterms:W3CDTF">2021-03-01T07:58:00Z</dcterms:modified>
</cp:coreProperties>
</file>