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7F94">
      <w:pPr>
        <w:spacing w:after="0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0000" w:rsidRDefault="00C27F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00000" w:rsidRDefault="00C27F94">
      <w:pPr>
        <w:spacing w:after="0"/>
        <w:ind w:right="1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20/44/105/1228</w:t>
      </w:r>
    </w:p>
    <w:p w:rsidR="00000000" w:rsidRDefault="00C27F94">
      <w:pPr>
        <w:spacing w:after="0"/>
        <w:ind w:right="1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0000" w:rsidRDefault="00C27F94">
      <w:pPr>
        <w:spacing w:after="0"/>
        <w:ind w:right="1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 w:rsidR="00000000">
        <w:trPr>
          <w:tblCellSpacing w:w="0" w:type="dxa"/>
        </w:trPr>
        <w:tc>
          <w:tcPr>
            <w:tcW w:w="47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27F94">
            <w:pPr>
              <w:spacing w:after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16.07.2020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27F94">
            <w:pPr>
              <w:spacing w:after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</w:tr>
    </w:tbl>
    <w:p w:rsidR="00000000" w:rsidRDefault="00C27F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антимонопольной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видеоконференц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жалобу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«Галактика»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«Таштагольский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аукционной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«Таштагольский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«ЕЭТП»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площадки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капитальному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сносу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</w:t>
      </w:r>
      <w:r>
        <w:rPr>
          <w:rFonts w:ascii="Times New Roman" w:hAnsi="Times New Roman"/>
          <w:sz w:val="28"/>
          <w:szCs w:val="28"/>
        </w:rPr>
        <w:t>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очистных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Шерегеш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 www.zakupki</w:t>
      </w:r>
      <w:r>
        <w:rPr>
          <w:rFonts w:ascii="Times New Roman" w:hAnsi="Times New Roman"/>
          <w:sz w:val="28"/>
          <w:szCs w:val="28"/>
        </w:rPr>
        <w:t>.gov.ru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>) 0139300007520000099)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внеплановой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99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05.04.2013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44-</w:t>
      </w: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3.31 </w:t>
      </w:r>
      <w:r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антимонопольной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бездейст</w:t>
      </w:r>
      <w:r>
        <w:rPr>
          <w:rFonts w:ascii="Times New Roman" w:hAnsi="Times New Roman"/>
          <w:sz w:val="28"/>
          <w:szCs w:val="28"/>
        </w:rPr>
        <w:t>вие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специализированной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контрактного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управляющего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оператора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19.11.2014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727/14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),</w:t>
      </w:r>
    </w:p>
    <w:p w:rsidR="00000000" w:rsidRDefault="00C27F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0000" w:rsidRDefault="00C27F94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УСТАНОВИЛА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C27F94">
      <w:pPr>
        <w:spacing w:after="0"/>
        <w:ind w:left="-142" w:firstLine="855"/>
        <w:jc w:val="both"/>
        <w:rPr>
          <w:rFonts w:ascii="Times New Roman" w:hAnsi="Times New Roman"/>
          <w:sz w:val="28"/>
          <w:szCs w:val="28"/>
        </w:rPr>
      </w:pPr>
    </w:p>
    <w:p w:rsidR="00000000" w:rsidRDefault="00C27F94">
      <w:pPr>
        <w:spacing w:after="0"/>
        <w:ind w:left="-142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антимонопольную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</w:t>
      </w:r>
      <w:r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Аукционной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Оператором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C27F94">
      <w:pPr>
        <w:pStyle w:val="a8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pStyle w:val="a8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типовые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23.12.2016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 </w:t>
      </w:r>
      <w:r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z w:val="28"/>
          <w:szCs w:val="28"/>
        </w:rPr>
        <w:t>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1466);</w:t>
      </w:r>
    </w:p>
    <w:p w:rsidR="00000000" w:rsidRDefault="00C27F94">
      <w:pPr>
        <w:pStyle w:val="a8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</w:t>
      </w:r>
      <w:r>
        <w:rPr>
          <w:rFonts w:ascii="Times New Roman" w:hAnsi="Times New Roman"/>
          <w:sz w:val="28"/>
          <w:szCs w:val="28"/>
        </w:rPr>
        <w:t>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согласился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доводами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сообщил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действовал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99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внеплановой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документацией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протоколами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>еделении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исполнителя</w:t>
      </w:r>
      <w:r>
        <w:rPr>
          <w:rFonts w:ascii="Times New Roman" w:hAnsi="Times New Roman"/>
          <w:sz w:val="28"/>
          <w:szCs w:val="28"/>
        </w:rPr>
        <w:t>):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rtl/>
        </w:rPr>
        <w:t>03.07.2020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максимальная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цена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1 058 864 395,80 </w:t>
      </w:r>
      <w:r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16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66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несостоявшимся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поскольку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признанная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«Мегастройкомплекс»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стью</w:t>
      </w:r>
      <w:r>
        <w:rPr>
          <w:rFonts w:ascii="Times New Roman" w:hAnsi="Times New Roman"/>
          <w:sz w:val="28"/>
          <w:szCs w:val="28"/>
        </w:rPr>
        <w:t xml:space="preserve"> 6.1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110.2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реконструкция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рах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монтажных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фактически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осуще</w:t>
      </w:r>
      <w:r>
        <w:rPr>
          <w:rFonts w:ascii="Times New Roman" w:hAnsi="Times New Roman"/>
          <w:sz w:val="28"/>
          <w:szCs w:val="28"/>
        </w:rPr>
        <w:t>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110.2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монтажных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</w:t>
      </w:r>
      <w:r>
        <w:rPr>
          <w:rFonts w:ascii="Times New Roman" w:hAnsi="Times New Roman"/>
          <w:sz w:val="28"/>
          <w:szCs w:val="28"/>
        </w:rPr>
        <w:t>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</w:t>
      </w:r>
      <w:r>
        <w:rPr>
          <w:rFonts w:ascii="Times New Roman" w:hAnsi="Times New Roman"/>
          <w:sz w:val="28"/>
          <w:szCs w:val="28"/>
        </w:rPr>
        <w:t>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 w:eastAsia="en-US"/>
        </w:rPr>
        <w:t>Вместе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тем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Заявитель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на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заседание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Комиссии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явку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представителей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обеспечил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доказательств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подтверждающих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обоснованность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своего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довода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представил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в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связи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чем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Комиссия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приходит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выводу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что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довод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Заявителя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нашел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своего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по</w:t>
      </w:r>
      <w:r>
        <w:rPr>
          <w:rFonts w:ascii="Times New Roman" w:hAnsi="Times New Roman"/>
          <w:sz w:val="28"/>
          <w:szCs w:val="28"/>
          <w:lang w:val="en-US" w:eastAsia="en-US"/>
        </w:rPr>
        <w:t>дтверждения</w:t>
      </w:r>
      <w:r>
        <w:rPr>
          <w:rFonts w:ascii="Times New Roman" w:hAnsi="Times New Roman"/>
          <w:sz w:val="28"/>
          <w:szCs w:val="28"/>
          <w:lang w:val="en-US" w:eastAsia="en-US"/>
        </w:rPr>
        <w:t>.</w:t>
      </w:r>
    </w:p>
    <w:p w:rsidR="00000000" w:rsidRDefault="00C27F94">
      <w:pPr>
        <w:pStyle w:val="a8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типовые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1466.</w:t>
      </w:r>
    </w:p>
    <w:p w:rsidR="00000000" w:rsidRDefault="00C27F94">
      <w:pPr>
        <w:pStyle w:val="a8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исполнителю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являющемуся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типовые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 </w:t>
      </w:r>
      <w:r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заказчику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</w:t>
      </w:r>
      <w:r>
        <w:rPr>
          <w:rFonts w:ascii="Times New Roman" w:hAnsi="Times New Roman"/>
          <w:sz w:val="28"/>
          <w:szCs w:val="28"/>
        </w:rPr>
        <w:t>менты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</w:t>
      </w:r>
      <w:r>
        <w:rPr>
          <w:rFonts w:ascii="Times New Roman" w:hAnsi="Times New Roman"/>
          <w:sz w:val="28"/>
          <w:szCs w:val="28"/>
        </w:rPr>
        <w:t>ежных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субподрядчику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соисполнителю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</w:t>
      </w:r>
      <w:r>
        <w:rPr>
          <w:rFonts w:ascii="Times New Roman" w:hAnsi="Times New Roman"/>
          <w:sz w:val="28"/>
          <w:szCs w:val="28"/>
        </w:rPr>
        <w:t>олнителем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>).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 </w:t>
      </w:r>
      <w:r>
        <w:rPr>
          <w:rFonts w:ascii="Times New Roman" w:hAnsi="Times New Roman"/>
          <w:sz w:val="28"/>
          <w:szCs w:val="28"/>
        </w:rPr>
        <w:t>подрядчик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оплачивать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отдельные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соисполнителем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подрядчиком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исполнителем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18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подрядчик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субподрядчиков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 xml:space="preserve"> 15%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1466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 w:eastAsia="en-US"/>
        </w:rPr>
        <w:t>Вместе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тем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Заявитель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на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заседание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Комиссии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явку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представителей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обеспечил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доказательств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подтверждающих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обоснованность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своего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довода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представил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в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связи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чем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Комиссия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приходит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к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выводу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что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довод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Заявителя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не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наш</w:t>
      </w:r>
      <w:r>
        <w:rPr>
          <w:rFonts w:ascii="Times New Roman" w:hAnsi="Times New Roman"/>
          <w:sz w:val="28"/>
          <w:szCs w:val="28"/>
          <w:lang w:val="en-US" w:eastAsia="en-US"/>
        </w:rPr>
        <w:t>ел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своего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подтверждения</w:t>
      </w:r>
      <w:r>
        <w:rPr>
          <w:rFonts w:ascii="Times New Roman" w:hAnsi="Times New Roman"/>
          <w:sz w:val="28"/>
          <w:szCs w:val="28"/>
          <w:lang w:val="en-US" w:eastAsia="en-US"/>
        </w:rPr>
        <w:t>.</w:t>
      </w:r>
    </w:p>
    <w:p w:rsidR="00000000" w:rsidRDefault="00C27F94">
      <w:pPr>
        <w:pStyle w:val="a8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содержащаяся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общедоступной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безвозмездно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составляю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размещаются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содержащаяся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размещается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64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максимальной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33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руководствоваться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правилом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капитальному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сносу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установленн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частями</w:t>
      </w:r>
      <w:r>
        <w:rPr>
          <w:rFonts w:ascii="Times New Roman" w:hAnsi="Times New Roman"/>
          <w:sz w:val="28"/>
          <w:szCs w:val="28"/>
        </w:rPr>
        <w:t xml:space="preserve"> 16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16.1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надлежащим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пунктов</w:t>
      </w:r>
      <w:r>
        <w:rPr>
          <w:rFonts w:ascii="Times New Roman" w:hAnsi="Times New Roman"/>
          <w:sz w:val="28"/>
          <w:szCs w:val="28"/>
        </w:rPr>
        <w:t xml:space="preserve"> 1 - 3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33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реконструкция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капитальный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</w:t>
      </w:r>
      <w:r>
        <w:rPr>
          <w:rFonts w:ascii="Times New Roman" w:hAnsi="Times New Roman"/>
          <w:sz w:val="28"/>
          <w:szCs w:val="28"/>
        </w:rPr>
        <w:t>яющие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закупаемой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объектом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очистных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«Проект»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ссылке</w:t>
      </w:r>
      <w:r>
        <w:rPr>
          <w:rFonts w:ascii="Times New Roman" w:hAnsi="Times New Roman"/>
          <w:sz w:val="28"/>
          <w:szCs w:val="28"/>
        </w:rPr>
        <w:t>: https://cloud.mail.ru/public/5MYF/53UwaPFpV/.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приходит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разместившего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нарушают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64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4.2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7.30 </w:t>
      </w:r>
      <w:r>
        <w:rPr>
          <w:rFonts w:ascii="Times New Roman" w:hAnsi="Times New Roman"/>
          <w:sz w:val="28"/>
          <w:szCs w:val="28"/>
        </w:rPr>
        <w:t>Кодекса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spacing w:after="0"/>
        <w:ind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2,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15, </w:t>
      </w:r>
      <w:r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22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99,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106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Административным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</w:p>
    <w:p w:rsidR="00000000" w:rsidRDefault="00C27F94">
      <w:pPr>
        <w:pStyle w:val="a8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00000" w:rsidRDefault="00C27F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C27F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0000" w:rsidRDefault="00C27F94">
      <w:pPr>
        <w:pStyle w:val="a8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Приз</w:t>
      </w:r>
      <w:r>
        <w:rPr>
          <w:rFonts w:ascii="Times New Roman" w:hAnsi="Times New Roman"/>
          <w:sz w:val="28"/>
          <w:szCs w:val="28"/>
        </w:rPr>
        <w:t>нать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«Галактика»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неправомерного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z w:val="28"/>
          <w:szCs w:val="28"/>
        </w:rPr>
        <w:t xml:space="preserve"> 64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Аукционной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Оператору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устранении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Передать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16.07.2020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20/44/105/1228 </w:t>
      </w:r>
      <w:r>
        <w:rPr>
          <w:rFonts w:ascii="Times New Roman" w:hAnsi="Times New Roman"/>
          <w:sz w:val="28"/>
          <w:szCs w:val="28"/>
        </w:rPr>
        <w:t>соответствующему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</w:t>
      </w:r>
      <w:r>
        <w:rPr>
          <w:rFonts w:ascii="Times New Roman" w:hAnsi="Times New Roman"/>
          <w:sz w:val="28"/>
          <w:szCs w:val="28"/>
        </w:rPr>
        <w:t>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возбуждении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27F94">
      <w:pPr>
        <w:pStyle w:val="a8"/>
        <w:tabs>
          <w:tab w:val="left" w:pos="0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000000" w:rsidRDefault="00C27F94">
      <w:pPr>
        <w:pStyle w:val="a8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обжаловано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арбитражном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>.</w:t>
      </w:r>
    </w:p>
    <w:p w:rsidR="00C27F94" w:rsidRDefault="00C27F94">
      <w:pPr>
        <w:spacing w:after="0"/>
        <w:rPr>
          <w:rFonts w:ascii="Times New Roman" w:hAnsi="Times New Roman"/>
          <w:sz w:val="20"/>
          <w:szCs w:val="20"/>
        </w:rPr>
      </w:pPr>
    </w:p>
    <w:sectPr w:rsidR="00C27F94">
      <w:headerReference w:type="default" r:id="rId8"/>
      <w:pgSz w:w="11906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94" w:rsidRDefault="00C27F94">
      <w:pPr>
        <w:spacing w:after="0"/>
      </w:pPr>
      <w:r>
        <w:separator/>
      </w:r>
    </w:p>
  </w:endnote>
  <w:endnote w:type="continuationSeparator" w:id="0">
    <w:p w:rsidR="00C27F94" w:rsidRDefault="00C27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94" w:rsidRDefault="00C27F94">
      <w:pPr>
        <w:spacing w:after="0"/>
      </w:pPr>
      <w:r>
        <w:separator/>
      </w:r>
    </w:p>
  </w:footnote>
  <w:footnote w:type="continuationSeparator" w:id="0">
    <w:p w:rsidR="00C27F94" w:rsidRDefault="00C27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7F94">
    <w:pPr>
      <w:pStyle w:val="ab"/>
      <w:tabs>
        <w:tab w:val="center" w:pos="4677"/>
        <w:tab w:val="right" w:pos="9355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4F4576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  <w:p w:rsidR="00000000" w:rsidRDefault="00C27F94">
    <w:pPr>
      <w:pStyle w:val="ab"/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45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>
      <w:start w:val="1"/>
      <w:numFmt w:val="lowerLetter"/>
      <w:lvlText w:val="%2."/>
      <w:lvlJc w:val="left"/>
      <w:pPr>
        <w:ind w:left="2295" w:hanging="360"/>
      </w:pPr>
    </w:lvl>
    <w:lvl w:ilvl="2" w:tplc="0419001B">
      <w:start w:val="1"/>
      <w:numFmt w:val="lowerRoman"/>
      <w:lvlText w:val="%3."/>
      <w:lvlJc w:val="right"/>
      <w:pPr>
        <w:ind w:left="3015" w:hanging="180"/>
      </w:pPr>
    </w:lvl>
    <w:lvl w:ilvl="3" w:tplc="0419000F">
      <w:start w:val="1"/>
      <w:numFmt w:val="decimal"/>
      <w:lvlText w:val="%4."/>
      <w:lvlJc w:val="left"/>
      <w:pPr>
        <w:ind w:left="3735" w:hanging="360"/>
      </w:pPr>
    </w:lvl>
    <w:lvl w:ilvl="4" w:tplc="04190019">
      <w:start w:val="1"/>
      <w:numFmt w:val="lowerLetter"/>
      <w:lvlText w:val="%5."/>
      <w:lvlJc w:val="left"/>
      <w:pPr>
        <w:ind w:left="4455" w:hanging="360"/>
      </w:pPr>
    </w:lvl>
    <w:lvl w:ilvl="5" w:tplc="0419001B">
      <w:start w:val="1"/>
      <w:numFmt w:val="lowerRoman"/>
      <w:lvlText w:val="%6."/>
      <w:lvlJc w:val="right"/>
      <w:pPr>
        <w:ind w:left="5175" w:hanging="180"/>
      </w:pPr>
    </w:lvl>
    <w:lvl w:ilvl="6" w:tplc="0419000F">
      <w:start w:val="1"/>
      <w:numFmt w:val="decimal"/>
      <w:lvlText w:val="%7."/>
      <w:lvlJc w:val="left"/>
      <w:pPr>
        <w:ind w:left="5895" w:hanging="360"/>
      </w:pPr>
    </w:lvl>
    <w:lvl w:ilvl="7" w:tplc="04190019">
      <w:start w:val="1"/>
      <w:numFmt w:val="lowerLetter"/>
      <w:lvlText w:val="%8."/>
      <w:lvlJc w:val="left"/>
      <w:pPr>
        <w:ind w:left="6615" w:hanging="360"/>
      </w:pPr>
    </w:lvl>
    <w:lvl w:ilvl="8" w:tplc="0419001B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737716D"/>
    <w:multiLevelType w:val="hybridMultilevel"/>
    <w:tmpl w:val="FFFFFFFF"/>
    <w:lvl w:ilvl="0" w:tplc="524A3584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DD60CB3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287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2727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447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4887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607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3">
    <w:nsid w:val="1F5D78FD"/>
    <w:multiLevelType w:val="hybridMultilevel"/>
    <w:tmpl w:val="FFFFFFFF"/>
    <w:lvl w:ilvl="0" w:tplc="24A8918C">
      <w:start w:val="1"/>
      <w:numFmt w:val="decimal"/>
      <w:lvlText w:val="%1."/>
      <w:lvlJc w:val="left"/>
      <w:pPr>
        <w:ind w:left="1290" w:hanging="435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8CB379B"/>
    <w:multiLevelType w:val="hybridMultilevel"/>
    <w:tmpl w:val="FFFFFFFF"/>
    <w:lvl w:ilvl="0" w:tplc="78CA4004">
      <w:start w:val="1"/>
      <w:numFmt w:val="decimal"/>
      <w:lvlText w:val="%1."/>
      <w:lvlJc w:val="left"/>
      <w:pPr>
        <w:ind w:left="121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0E473D"/>
    <w:multiLevelType w:val="hybridMultilevel"/>
    <w:tmpl w:val="FFFFFFFF"/>
    <w:lvl w:ilvl="0" w:tplc="50CACA6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E02873"/>
    <w:multiLevelType w:val="hybridMultilevel"/>
    <w:tmpl w:val="FFFFFFFF"/>
    <w:lvl w:ilvl="0" w:tplc="5F584654">
      <w:start w:val="1"/>
      <w:numFmt w:val="decimal"/>
      <w:lvlText w:val="%1)"/>
      <w:lvlJc w:val="left"/>
      <w:pPr>
        <w:ind w:left="2265" w:hanging="555"/>
      </w:pPr>
    </w:lvl>
    <w:lvl w:ilvl="1" w:tplc="04190019">
      <w:start w:val="1"/>
      <w:numFmt w:val="lowerLetter"/>
      <w:lvlText w:val="%2."/>
      <w:lvlJc w:val="left"/>
      <w:pPr>
        <w:ind w:left="2295" w:hanging="360"/>
      </w:pPr>
    </w:lvl>
    <w:lvl w:ilvl="2" w:tplc="0419001B">
      <w:start w:val="1"/>
      <w:numFmt w:val="lowerRoman"/>
      <w:lvlText w:val="%3."/>
      <w:lvlJc w:val="right"/>
      <w:pPr>
        <w:ind w:left="3015" w:hanging="180"/>
      </w:pPr>
    </w:lvl>
    <w:lvl w:ilvl="3" w:tplc="0419000F">
      <w:start w:val="1"/>
      <w:numFmt w:val="decimal"/>
      <w:lvlText w:val="%4."/>
      <w:lvlJc w:val="left"/>
      <w:pPr>
        <w:ind w:left="3735" w:hanging="360"/>
      </w:pPr>
    </w:lvl>
    <w:lvl w:ilvl="4" w:tplc="04190019">
      <w:start w:val="1"/>
      <w:numFmt w:val="lowerLetter"/>
      <w:lvlText w:val="%5."/>
      <w:lvlJc w:val="left"/>
      <w:pPr>
        <w:ind w:left="4455" w:hanging="360"/>
      </w:pPr>
    </w:lvl>
    <w:lvl w:ilvl="5" w:tplc="0419001B">
      <w:start w:val="1"/>
      <w:numFmt w:val="lowerRoman"/>
      <w:lvlText w:val="%6."/>
      <w:lvlJc w:val="right"/>
      <w:pPr>
        <w:ind w:left="5175" w:hanging="180"/>
      </w:pPr>
    </w:lvl>
    <w:lvl w:ilvl="6" w:tplc="0419000F">
      <w:start w:val="1"/>
      <w:numFmt w:val="decimal"/>
      <w:lvlText w:val="%7."/>
      <w:lvlJc w:val="left"/>
      <w:pPr>
        <w:ind w:left="5895" w:hanging="360"/>
      </w:pPr>
    </w:lvl>
    <w:lvl w:ilvl="7" w:tplc="04190019">
      <w:start w:val="1"/>
      <w:numFmt w:val="lowerLetter"/>
      <w:lvlText w:val="%8."/>
      <w:lvlJc w:val="left"/>
      <w:pPr>
        <w:ind w:left="6615" w:hanging="360"/>
      </w:pPr>
    </w:lvl>
    <w:lvl w:ilvl="8" w:tplc="0419001B">
      <w:start w:val="1"/>
      <w:numFmt w:val="lowerRoman"/>
      <w:lvlText w:val="%9."/>
      <w:lvlJc w:val="right"/>
      <w:pPr>
        <w:ind w:left="7335" w:hanging="180"/>
      </w:pPr>
    </w:lvl>
  </w:abstractNum>
  <w:abstractNum w:abstractNumId="7">
    <w:nsid w:val="32940DDD"/>
    <w:multiLevelType w:val="hybridMultilevel"/>
    <w:tmpl w:val="FFFFFFFF"/>
    <w:lvl w:ilvl="0" w:tplc="BEC63F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C02B5E"/>
    <w:multiLevelType w:val="hybridMultilevel"/>
    <w:tmpl w:val="FFFFFFFF"/>
    <w:lvl w:ilvl="0" w:tplc="C9CC2F88">
      <w:start w:val="1"/>
      <w:numFmt w:val="decimal"/>
      <w:lvlText w:val="%1.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CD2950"/>
    <w:multiLevelType w:val="hybridMultilevel"/>
    <w:tmpl w:val="FFFFFFFF"/>
    <w:lvl w:ilvl="0" w:tplc="0866924A">
      <w:start w:val="1"/>
      <w:numFmt w:val="decimal"/>
      <w:lvlText w:val="%1."/>
      <w:lvlJc w:val="left"/>
      <w:pPr>
        <w:ind w:left="1216" w:hanging="360"/>
      </w:pPr>
    </w:lvl>
    <w:lvl w:ilvl="1" w:tplc="04190019">
      <w:start w:val="1"/>
      <w:numFmt w:val="lowerLetter"/>
      <w:lvlText w:val="%2."/>
      <w:lvlJc w:val="left"/>
      <w:pPr>
        <w:ind w:left="1936" w:hanging="360"/>
      </w:pPr>
    </w:lvl>
    <w:lvl w:ilvl="2" w:tplc="0419001B">
      <w:start w:val="1"/>
      <w:numFmt w:val="lowerRoman"/>
      <w:lvlText w:val="%3."/>
      <w:lvlJc w:val="right"/>
      <w:pPr>
        <w:ind w:left="2656" w:hanging="180"/>
      </w:pPr>
    </w:lvl>
    <w:lvl w:ilvl="3" w:tplc="0419000F">
      <w:start w:val="1"/>
      <w:numFmt w:val="decimal"/>
      <w:lvlText w:val="%4."/>
      <w:lvlJc w:val="left"/>
      <w:pPr>
        <w:ind w:left="3376" w:hanging="360"/>
      </w:pPr>
    </w:lvl>
    <w:lvl w:ilvl="4" w:tplc="04190019">
      <w:start w:val="1"/>
      <w:numFmt w:val="lowerLetter"/>
      <w:lvlText w:val="%5."/>
      <w:lvlJc w:val="left"/>
      <w:pPr>
        <w:ind w:left="4096" w:hanging="360"/>
      </w:pPr>
    </w:lvl>
    <w:lvl w:ilvl="5" w:tplc="0419001B">
      <w:start w:val="1"/>
      <w:numFmt w:val="lowerRoman"/>
      <w:lvlText w:val="%6."/>
      <w:lvlJc w:val="right"/>
      <w:pPr>
        <w:ind w:left="4816" w:hanging="180"/>
      </w:pPr>
    </w:lvl>
    <w:lvl w:ilvl="6" w:tplc="0419000F">
      <w:start w:val="1"/>
      <w:numFmt w:val="decimal"/>
      <w:lvlText w:val="%7."/>
      <w:lvlJc w:val="left"/>
      <w:pPr>
        <w:ind w:left="5536" w:hanging="360"/>
      </w:pPr>
    </w:lvl>
    <w:lvl w:ilvl="7" w:tplc="04190019">
      <w:start w:val="1"/>
      <w:numFmt w:val="lowerLetter"/>
      <w:lvlText w:val="%8."/>
      <w:lvlJc w:val="left"/>
      <w:pPr>
        <w:ind w:left="6256" w:hanging="360"/>
      </w:pPr>
    </w:lvl>
    <w:lvl w:ilvl="8" w:tplc="0419001B">
      <w:start w:val="1"/>
      <w:numFmt w:val="lowerRoman"/>
      <w:lvlText w:val="%9."/>
      <w:lvlJc w:val="right"/>
      <w:pPr>
        <w:ind w:left="6976" w:hanging="180"/>
      </w:pPr>
    </w:lvl>
  </w:abstractNum>
  <w:abstractNum w:abstractNumId="10">
    <w:nsid w:val="483E2865"/>
    <w:multiLevelType w:val="hybridMultilevel"/>
    <w:tmpl w:val="FFFFFFFF"/>
    <w:lvl w:ilvl="0" w:tplc="530C624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2F148D"/>
    <w:multiLevelType w:val="hybridMultilevel"/>
    <w:tmpl w:val="FFFFFFFF"/>
    <w:lvl w:ilvl="0" w:tplc="A8204098">
      <w:start w:val="1"/>
      <w:numFmt w:val="decimal"/>
      <w:lvlText w:val="%1."/>
      <w:lvlJc w:val="left"/>
      <w:pPr>
        <w:ind w:left="1230" w:hanging="375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C31371E"/>
    <w:multiLevelType w:val="hybridMultilevel"/>
    <w:tmpl w:val="FFFFFFFF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8579A"/>
    <w:multiLevelType w:val="hybridMultilevel"/>
    <w:tmpl w:val="FFFFFFFF"/>
    <w:lvl w:ilvl="0" w:tplc="34CCBF40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55625055"/>
    <w:multiLevelType w:val="hybridMultilevel"/>
    <w:tmpl w:val="FFFFFFFF"/>
    <w:lvl w:ilvl="0" w:tplc="0DC6E458">
      <w:start w:val="1"/>
      <w:numFmt w:val="decimal"/>
      <w:lvlText w:val="%1)"/>
      <w:lvlJc w:val="left"/>
      <w:pPr>
        <w:ind w:left="1216" w:hanging="360"/>
      </w:pPr>
    </w:lvl>
    <w:lvl w:ilvl="1" w:tplc="04190019">
      <w:start w:val="1"/>
      <w:numFmt w:val="lowerLetter"/>
      <w:lvlText w:val="%2."/>
      <w:lvlJc w:val="left"/>
      <w:pPr>
        <w:ind w:left="1936" w:hanging="360"/>
      </w:pPr>
    </w:lvl>
    <w:lvl w:ilvl="2" w:tplc="0419001B">
      <w:start w:val="1"/>
      <w:numFmt w:val="lowerRoman"/>
      <w:lvlText w:val="%3."/>
      <w:lvlJc w:val="right"/>
      <w:pPr>
        <w:ind w:left="2656" w:hanging="180"/>
      </w:pPr>
    </w:lvl>
    <w:lvl w:ilvl="3" w:tplc="0419000F">
      <w:start w:val="1"/>
      <w:numFmt w:val="decimal"/>
      <w:lvlText w:val="%4."/>
      <w:lvlJc w:val="left"/>
      <w:pPr>
        <w:ind w:left="3376" w:hanging="360"/>
      </w:pPr>
    </w:lvl>
    <w:lvl w:ilvl="4" w:tplc="04190019">
      <w:start w:val="1"/>
      <w:numFmt w:val="lowerLetter"/>
      <w:lvlText w:val="%5."/>
      <w:lvlJc w:val="left"/>
      <w:pPr>
        <w:ind w:left="4096" w:hanging="360"/>
      </w:pPr>
    </w:lvl>
    <w:lvl w:ilvl="5" w:tplc="0419001B">
      <w:start w:val="1"/>
      <w:numFmt w:val="lowerRoman"/>
      <w:lvlText w:val="%6."/>
      <w:lvlJc w:val="right"/>
      <w:pPr>
        <w:ind w:left="4816" w:hanging="180"/>
      </w:pPr>
    </w:lvl>
    <w:lvl w:ilvl="6" w:tplc="0419000F">
      <w:start w:val="1"/>
      <w:numFmt w:val="decimal"/>
      <w:lvlText w:val="%7."/>
      <w:lvlJc w:val="left"/>
      <w:pPr>
        <w:ind w:left="5536" w:hanging="360"/>
      </w:pPr>
    </w:lvl>
    <w:lvl w:ilvl="7" w:tplc="04190019">
      <w:start w:val="1"/>
      <w:numFmt w:val="lowerLetter"/>
      <w:lvlText w:val="%8."/>
      <w:lvlJc w:val="left"/>
      <w:pPr>
        <w:ind w:left="6256" w:hanging="360"/>
      </w:pPr>
    </w:lvl>
    <w:lvl w:ilvl="8" w:tplc="0419001B">
      <w:start w:val="1"/>
      <w:numFmt w:val="lowerRoman"/>
      <w:lvlText w:val="%9."/>
      <w:lvlJc w:val="right"/>
      <w:pPr>
        <w:ind w:left="6976" w:hanging="180"/>
      </w:pPr>
    </w:lvl>
  </w:abstractNum>
  <w:abstractNum w:abstractNumId="15">
    <w:nsid w:val="5B8F4735"/>
    <w:multiLevelType w:val="multilevel"/>
    <w:tmpl w:val="FFFFFFFF"/>
    <w:lvl w:ilvl="0">
      <w:start w:val="1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isLgl/>
      <w:lvlText w:val="%1.%2."/>
      <w:lvlJc w:val="left"/>
      <w:pPr>
        <w:ind w:left="9651" w:hanging="360"/>
      </w:pPr>
    </w:lvl>
    <w:lvl w:ilvl="2">
      <w:start w:val="1"/>
      <w:numFmt w:val="decimal"/>
      <w:isLgl/>
      <w:lvlText w:val="%1.%2.%3."/>
      <w:lvlJc w:val="left"/>
      <w:pPr>
        <w:ind w:left="4690" w:hanging="720"/>
      </w:pPr>
    </w:lvl>
    <w:lvl w:ilvl="3">
      <w:start w:val="1"/>
      <w:numFmt w:val="decimal"/>
      <w:isLgl/>
      <w:lvlText w:val="%1.%2.%3.%4."/>
      <w:lvlJc w:val="left"/>
      <w:pPr>
        <w:ind w:left="10731" w:hanging="720"/>
      </w:pPr>
    </w:lvl>
    <w:lvl w:ilvl="4">
      <w:start w:val="1"/>
      <w:numFmt w:val="decimal"/>
      <w:isLgl/>
      <w:lvlText w:val="%1.%2.%3.%4.%5."/>
      <w:lvlJc w:val="left"/>
      <w:pPr>
        <w:ind w:left="10011" w:hanging="1080"/>
      </w:pPr>
    </w:lvl>
    <w:lvl w:ilvl="5">
      <w:start w:val="1"/>
      <w:numFmt w:val="decimal"/>
      <w:isLgl/>
      <w:lvlText w:val="%1.%2.%3.%4.%5.%6."/>
      <w:lvlJc w:val="left"/>
      <w:pPr>
        <w:ind w:left="11811" w:hanging="1080"/>
      </w:pPr>
    </w:lvl>
    <w:lvl w:ilvl="6">
      <w:start w:val="1"/>
      <w:numFmt w:val="decimal"/>
      <w:isLgl/>
      <w:lvlText w:val="%1.%2.%3.%4.%5.%6.%7."/>
      <w:lvlJc w:val="left"/>
      <w:pPr>
        <w:ind w:left="12531" w:hanging="1440"/>
      </w:pPr>
    </w:lvl>
    <w:lvl w:ilvl="7">
      <w:start w:val="1"/>
      <w:numFmt w:val="decimal"/>
      <w:isLgl/>
      <w:lvlText w:val="%1.%2.%3.%4.%5.%6.%7.%8."/>
      <w:lvlJc w:val="left"/>
      <w:pPr>
        <w:ind w:left="12891" w:hanging="1440"/>
      </w:pPr>
    </w:lvl>
    <w:lvl w:ilvl="8">
      <w:start w:val="1"/>
      <w:numFmt w:val="decimal"/>
      <w:isLgl/>
      <w:lvlText w:val="%1.%2.%3.%4.%5.%6.%7.%8.%9."/>
      <w:lvlJc w:val="left"/>
      <w:pPr>
        <w:ind w:left="13611" w:hanging="1800"/>
      </w:pPr>
    </w:lvl>
  </w:abstractNum>
  <w:abstractNum w:abstractNumId="16">
    <w:nsid w:val="60155FCB"/>
    <w:multiLevelType w:val="multilevel"/>
    <w:tmpl w:val="FFFFFFFF"/>
    <w:lvl w:ilvl="0">
      <w:start w:val="1"/>
      <w:numFmt w:val="decimal"/>
      <w:suff w:val="nothing"/>
      <w:lvlText w:val="%1)"/>
      <w:lvlJc w:val="left"/>
      <w:pPr>
        <w:ind w:firstLine="54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BD0A0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6755CC"/>
    <w:multiLevelType w:val="hybridMultilevel"/>
    <w:tmpl w:val="FFFFFFFF"/>
    <w:lvl w:ilvl="0" w:tplc="B0F09DC6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C733E18"/>
    <w:multiLevelType w:val="hybridMultilevel"/>
    <w:tmpl w:val="FFFFFFFF"/>
    <w:lvl w:ilvl="0" w:tplc="484868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1923FF3"/>
    <w:multiLevelType w:val="hybridMultilevel"/>
    <w:tmpl w:val="FFFFFFFF"/>
    <w:lvl w:ilvl="0" w:tplc="7DB641AA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29F0EBC"/>
    <w:multiLevelType w:val="hybridMultilevel"/>
    <w:tmpl w:val="FFFFFFFF"/>
    <w:lvl w:ilvl="0" w:tplc="45A08AFC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749C6426"/>
    <w:multiLevelType w:val="hybridMultilevel"/>
    <w:tmpl w:val="FFFFFFFF"/>
    <w:lvl w:ilvl="0" w:tplc="2DBA8FD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8065CF2"/>
    <w:multiLevelType w:val="hybridMultilevel"/>
    <w:tmpl w:val="FFFFFFFF"/>
    <w:lvl w:ilvl="0" w:tplc="5F584654">
      <w:start w:val="1"/>
      <w:numFmt w:val="decimal"/>
      <w:lvlText w:val="%1)"/>
      <w:lvlJc w:val="left"/>
      <w:pPr>
        <w:ind w:left="2265" w:hanging="555"/>
      </w:pPr>
    </w:lvl>
    <w:lvl w:ilvl="1" w:tplc="04190019">
      <w:start w:val="1"/>
      <w:numFmt w:val="lowerLetter"/>
      <w:lvlText w:val="%2."/>
      <w:lvlJc w:val="left"/>
      <w:pPr>
        <w:ind w:left="2295" w:hanging="360"/>
      </w:pPr>
    </w:lvl>
    <w:lvl w:ilvl="2" w:tplc="0419001B">
      <w:start w:val="1"/>
      <w:numFmt w:val="lowerRoman"/>
      <w:lvlText w:val="%3."/>
      <w:lvlJc w:val="right"/>
      <w:pPr>
        <w:ind w:left="3015" w:hanging="180"/>
      </w:pPr>
    </w:lvl>
    <w:lvl w:ilvl="3" w:tplc="0419000F">
      <w:start w:val="1"/>
      <w:numFmt w:val="decimal"/>
      <w:lvlText w:val="%4."/>
      <w:lvlJc w:val="left"/>
      <w:pPr>
        <w:ind w:left="3735" w:hanging="360"/>
      </w:pPr>
    </w:lvl>
    <w:lvl w:ilvl="4" w:tplc="04190019">
      <w:start w:val="1"/>
      <w:numFmt w:val="lowerLetter"/>
      <w:lvlText w:val="%5."/>
      <w:lvlJc w:val="left"/>
      <w:pPr>
        <w:ind w:left="4455" w:hanging="360"/>
      </w:pPr>
    </w:lvl>
    <w:lvl w:ilvl="5" w:tplc="0419001B">
      <w:start w:val="1"/>
      <w:numFmt w:val="lowerRoman"/>
      <w:lvlText w:val="%6."/>
      <w:lvlJc w:val="right"/>
      <w:pPr>
        <w:ind w:left="5175" w:hanging="180"/>
      </w:pPr>
    </w:lvl>
    <w:lvl w:ilvl="6" w:tplc="0419000F">
      <w:start w:val="1"/>
      <w:numFmt w:val="decimal"/>
      <w:lvlText w:val="%7."/>
      <w:lvlJc w:val="left"/>
      <w:pPr>
        <w:ind w:left="5895" w:hanging="360"/>
      </w:pPr>
    </w:lvl>
    <w:lvl w:ilvl="7" w:tplc="04190019">
      <w:start w:val="1"/>
      <w:numFmt w:val="lowerLetter"/>
      <w:lvlText w:val="%8."/>
      <w:lvlJc w:val="left"/>
      <w:pPr>
        <w:ind w:left="6615" w:hanging="360"/>
      </w:pPr>
    </w:lvl>
    <w:lvl w:ilvl="8" w:tplc="0419001B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20"/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15"/>
  </w:num>
  <w:num w:numId="10">
    <w:abstractNumId w:val="8"/>
  </w:num>
  <w:num w:numId="11">
    <w:abstractNumId w:val="18"/>
  </w:num>
  <w:num w:numId="12">
    <w:abstractNumId w:val="12"/>
  </w:num>
  <w:num w:numId="13">
    <w:abstractNumId w:val="4"/>
  </w:num>
  <w:num w:numId="14">
    <w:abstractNumId w:val="21"/>
  </w:num>
  <w:num w:numId="15">
    <w:abstractNumId w:val="2"/>
  </w:num>
  <w:num w:numId="16">
    <w:abstractNumId w:val="11"/>
  </w:num>
  <w:num w:numId="17">
    <w:abstractNumId w:val="23"/>
  </w:num>
  <w:num w:numId="18">
    <w:abstractNumId w:val="9"/>
  </w:num>
  <w:num w:numId="19">
    <w:abstractNumId w:val="5"/>
  </w:num>
  <w:num w:numId="20">
    <w:abstractNumId w:val="19"/>
  </w:num>
  <w:num w:numId="21">
    <w:abstractNumId w:val="7"/>
  </w:num>
  <w:num w:numId="22">
    <w:abstractNumId w:val="13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76"/>
    <w:rsid w:val="004F4576"/>
    <w:rsid w:val="00C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92" w:line="240" w:lineRule="auto"/>
    </w:pPr>
    <w:rPr>
      <w:rFonts w:ascii="Calibri" w:hAnsi="Calibri"/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spacing w:before="100" w:after="119"/>
      <w:outlineLvl w:val="0"/>
    </w:pPr>
    <w:rPr>
      <w:rFonts w:ascii="Times New Roman" w:hAnsi="Times New Roman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pPr>
      <w:spacing w:before="40" w:after="0"/>
      <w:outlineLvl w:val="3"/>
    </w:pPr>
    <w:rPr>
      <w:i/>
      <w:iCs/>
      <w:color w:val="2E74B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link w:val="ConsPlusNormalc7ede0ea"/>
    <w:uiPriority w:val="99"/>
    <w:pPr>
      <w:spacing w:after="0"/>
      <w:ind w:firstLine="720"/>
    </w:pPr>
    <w:rPr>
      <w:rFonts w:ascii="Arial" w:hAnsi="Arial" w:cs="Arial"/>
      <w:color w:val="auto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character" w:customStyle="1" w:styleId="a5">
    <w:name w:val="Подзаголовок Знак"/>
    <w:basedOn w:val="a0"/>
    <w:link w:val="a6"/>
    <w:uiPriority w:val="99"/>
    <w:rPr>
      <w:color w:val="5A5A5A"/>
      <w:sz w:val="22"/>
      <w:szCs w:val="22"/>
      <w:lang w:val="en-US" w:eastAsia="en-US"/>
    </w:rPr>
  </w:style>
  <w:style w:type="paragraph" w:styleId="a7">
    <w:name w:val="Normal (Web)"/>
    <w:basedOn w:val="a"/>
    <w:uiPriority w:val="99"/>
    <w:pPr>
      <w:spacing w:before="100" w:after="119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link w:val="a9"/>
    <w:uiPriority w:val="99"/>
    <w:qFormat/>
    <w:pPr>
      <w:spacing w:after="0"/>
      <w:ind w:left="720"/>
      <w:contextualSpacing/>
    </w:pPr>
  </w:style>
  <w:style w:type="paragraph" w:styleId="a4">
    <w:name w:val="Balloon Text"/>
    <w:basedOn w:val="a"/>
    <w:link w:val="a3"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Pr>
      <w:sz w:val="22"/>
      <w:szCs w:val="22"/>
    </w:rPr>
  </w:style>
  <w:style w:type="paragraph" w:styleId="ab">
    <w:name w:val="header"/>
    <w:basedOn w:val="a"/>
    <w:link w:val="aa"/>
    <w:uiPriority w:val="99"/>
    <w:pPr>
      <w:spacing w:after="0"/>
    </w:pPr>
  </w:style>
  <w:style w:type="character" w:customStyle="1" w:styleId="ac">
    <w:name w:val="Нижний колонтитул Знак"/>
    <w:basedOn w:val="a0"/>
    <w:link w:val="ad"/>
    <w:uiPriority w:val="99"/>
    <w:rPr>
      <w:sz w:val="22"/>
      <w:szCs w:val="22"/>
    </w:rPr>
  </w:style>
  <w:style w:type="paragraph" w:styleId="ad">
    <w:name w:val="footer"/>
    <w:basedOn w:val="a"/>
    <w:link w:val="ac"/>
    <w:uiPriority w:val="99"/>
    <w:pPr>
      <w:spacing w:after="0"/>
    </w:pPr>
  </w:style>
  <w:style w:type="character" w:customStyle="1" w:styleId="ConsPlusNormalc7ede0ea">
    <w:name w:val="ConsPlusNormal Зc7нedаe0кea"/>
    <w:link w:val="ConsPlusNormal"/>
    <w:uiPriority w:val="99"/>
    <w:rPr>
      <w:rFonts w:ascii="Arial" w:hAnsi="Arial" w:cs="Arial"/>
      <w:sz w:val="20"/>
      <w:szCs w:val="20"/>
    </w:rPr>
  </w:style>
  <w:style w:type="paragraph" w:styleId="ae">
    <w:name w:val="annotation text"/>
    <w:basedOn w:val="a"/>
    <w:link w:val="af"/>
    <w:uiPriority w:val="99"/>
    <w:pPr>
      <w:spacing w:after="0"/>
    </w:pPr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rPr>
      <w:b/>
      <w:bCs/>
      <w:sz w:val="20"/>
      <w:szCs w:val="20"/>
    </w:rPr>
  </w:style>
  <w:style w:type="paragraph" w:customStyle="1" w:styleId="c1e5e7e8edf2e5f0e2e0ebe01">
    <w:name w:val="Бc1еe5зe7 иe8нedтf2еe5рf0вe2аe0лebаe01"/>
    <w:basedOn w:val="a"/>
    <w:uiPriority w:val="99"/>
    <w:qFormat/>
    <w:pPr>
      <w:spacing w:after="0"/>
    </w:pPr>
    <w:rPr>
      <w:rFonts w:ascii="Times New Roman" w:hAnsi="Times New Roman"/>
      <w:noProof/>
      <w:sz w:val="24"/>
      <w:szCs w:val="24"/>
    </w:rPr>
  </w:style>
  <w:style w:type="paragraph" w:customStyle="1" w:styleId="TableContents">
    <w:name w:val="Table Contents"/>
    <w:basedOn w:val="a"/>
    <w:uiPriority w:val="99"/>
    <w:pPr>
      <w:suppressLineNumbers/>
      <w:suppressAutoHyphens/>
      <w:spacing w:after="0"/>
    </w:pPr>
    <w:rPr>
      <w:rFonts w:ascii="Arial" w:hAnsi="Arial" w:cs="Arial"/>
      <w:sz w:val="24"/>
      <w:szCs w:val="24"/>
      <w:lang w:bidi="hi-IN"/>
    </w:rPr>
  </w:style>
  <w:style w:type="paragraph" w:styleId="af2">
    <w:name w:val="footnote text"/>
    <w:basedOn w:val="a"/>
    <w:link w:val="af3"/>
    <w:uiPriority w:val="99"/>
    <w:pPr>
      <w:suppressAutoHyphens/>
      <w:spacing w:after="0"/>
    </w:pPr>
    <w:rPr>
      <w:rFonts w:ascii="Times New Roman" w:hAnsi="Times New Roman"/>
      <w:sz w:val="20"/>
      <w:szCs w:val="20"/>
      <w:lang w:val="zh-CN" w:eastAsia="zh-CN"/>
    </w:rPr>
  </w:style>
  <w:style w:type="character" w:customStyle="1" w:styleId="cef1edeee2edeee9f8f0e8f4f2e0e1e7e0f6e01">
    <w:name w:val="Оceсf1нedоeeвe2нedоeeйe9 шf8рf0иe8фf4тf2 аe0бe1зe7аe0цf6аe01"/>
    <w:uiPriority w:val="99"/>
    <w:rPr>
      <w:sz w:val="22"/>
      <w:szCs w:val="22"/>
    </w:rPr>
  </w:style>
  <w:style w:type="paragraph" w:styleId="a6">
    <w:name w:val="Subtitle"/>
    <w:basedOn w:val="a"/>
    <w:next w:val="a"/>
    <w:link w:val="a5"/>
    <w:uiPriority w:val="99"/>
    <w:qFormat/>
    <w:pPr>
      <w:spacing w:after="160" w:line="258" w:lineRule="auto"/>
    </w:pPr>
    <w:rPr>
      <w:color w:val="5A5A5A"/>
      <w:lang w:val="en-US" w:eastAsia="en-US"/>
    </w:rPr>
  </w:style>
  <w:style w:type="table" w:styleId="1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annotation subject"/>
    <w:basedOn w:val="ae"/>
    <w:next w:val="ae"/>
    <w:link w:val="af0"/>
    <w:uiPriority w:val="99"/>
    <w:rPr>
      <w:b/>
      <w:bCs/>
    </w:rPr>
  </w:style>
  <w:style w:type="character" w:customStyle="1" w:styleId="cardmaininfocontent">
    <w:name w:val="cardmaininfo__content"/>
    <w:basedOn w:val="a0"/>
    <w:uiPriority w:val="99"/>
    <w:rPr>
      <w:sz w:val="22"/>
      <w:szCs w:val="22"/>
    </w:rPr>
  </w:style>
  <w:style w:type="character" w:styleId="af4">
    <w:name w:val="line number"/>
    <w:basedOn w:val="a0"/>
    <w:uiPriority w:val="99"/>
    <w:rPr>
      <w:rFonts w:ascii="Times New Roman" w:hAnsi="Times New Roman"/>
      <w:color w:val="000000"/>
      <w:sz w:val="22"/>
      <w:szCs w:val="22"/>
    </w:rPr>
  </w:style>
  <w:style w:type="character" w:styleId="af5">
    <w:name w:val="Hyperlink"/>
    <w:basedOn w:val="a0"/>
    <w:uiPriority w:val="99"/>
    <w:rPr>
      <w:color w:val="000080"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bCs/>
      <w:sz w:val="48"/>
      <w:szCs w:val="48"/>
    </w:rPr>
  </w:style>
  <w:style w:type="character" w:styleId="af6">
    <w:name w:val="annotation reference"/>
    <w:basedOn w:val="a0"/>
    <w:uiPriority w:val="99"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uiPriority w:val="99"/>
    <w:rPr>
      <w:sz w:val="20"/>
      <w:szCs w:val="20"/>
    </w:rPr>
  </w:style>
  <w:style w:type="character" w:customStyle="1" w:styleId="a9">
    <w:name w:val="Абзац списка Знак"/>
    <w:link w:val="a8"/>
    <w:uiPriority w:val="99"/>
    <w:rPr>
      <w:sz w:val="22"/>
      <w:szCs w:val="22"/>
    </w:rPr>
  </w:style>
  <w:style w:type="character" w:customStyle="1" w:styleId="d2e5eaf1f2f1edeef1eae8c7ede0ea">
    <w:name w:val="Тd2еe5кeaсf1тf2 сf1нedоeeсf1кeaиe8 Зc7нedаe0кea"/>
    <w:basedOn w:val="a0"/>
    <w:uiPriority w:val="99"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rFonts w:ascii="Times New Roman" w:hAnsi="Times New Roman"/>
      <w:sz w:val="20"/>
      <w:szCs w:val="20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rPr>
      <w:i/>
      <w:iCs/>
      <w:color w:val="2E74B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92" w:line="240" w:lineRule="auto"/>
    </w:pPr>
    <w:rPr>
      <w:rFonts w:ascii="Calibri" w:hAnsi="Calibri"/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spacing w:before="100" w:after="119"/>
      <w:outlineLvl w:val="0"/>
    </w:pPr>
    <w:rPr>
      <w:rFonts w:ascii="Times New Roman" w:hAnsi="Times New Roman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pPr>
      <w:spacing w:before="40" w:after="0"/>
      <w:outlineLvl w:val="3"/>
    </w:pPr>
    <w:rPr>
      <w:i/>
      <w:iCs/>
      <w:color w:val="2E74B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link w:val="ConsPlusNormalc7ede0ea"/>
    <w:uiPriority w:val="99"/>
    <w:pPr>
      <w:spacing w:after="0"/>
      <w:ind w:firstLine="720"/>
    </w:pPr>
    <w:rPr>
      <w:rFonts w:ascii="Arial" w:hAnsi="Arial" w:cs="Arial"/>
      <w:color w:val="auto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character" w:customStyle="1" w:styleId="a5">
    <w:name w:val="Подзаголовок Знак"/>
    <w:basedOn w:val="a0"/>
    <w:link w:val="a6"/>
    <w:uiPriority w:val="99"/>
    <w:rPr>
      <w:color w:val="5A5A5A"/>
      <w:sz w:val="22"/>
      <w:szCs w:val="22"/>
      <w:lang w:val="en-US" w:eastAsia="en-US"/>
    </w:rPr>
  </w:style>
  <w:style w:type="paragraph" w:styleId="a7">
    <w:name w:val="Normal (Web)"/>
    <w:basedOn w:val="a"/>
    <w:uiPriority w:val="99"/>
    <w:pPr>
      <w:spacing w:before="100" w:after="119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link w:val="a9"/>
    <w:uiPriority w:val="99"/>
    <w:qFormat/>
    <w:pPr>
      <w:spacing w:after="0"/>
      <w:ind w:left="720"/>
      <w:contextualSpacing/>
    </w:pPr>
  </w:style>
  <w:style w:type="paragraph" w:styleId="a4">
    <w:name w:val="Balloon Text"/>
    <w:basedOn w:val="a"/>
    <w:link w:val="a3"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Pr>
      <w:sz w:val="22"/>
      <w:szCs w:val="22"/>
    </w:rPr>
  </w:style>
  <w:style w:type="paragraph" w:styleId="ab">
    <w:name w:val="header"/>
    <w:basedOn w:val="a"/>
    <w:link w:val="aa"/>
    <w:uiPriority w:val="99"/>
    <w:pPr>
      <w:spacing w:after="0"/>
    </w:pPr>
  </w:style>
  <w:style w:type="character" w:customStyle="1" w:styleId="ac">
    <w:name w:val="Нижний колонтитул Знак"/>
    <w:basedOn w:val="a0"/>
    <w:link w:val="ad"/>
    <w:uiPriority w:val="99"/>
    <w:rPr>
      <w:sz w:val="22"/>
      <w:szCs w:val="22"/>
    </w:rPr>
  </w:style>
  <w:style w:type="paragraph" w:styleId="ad">
    <w:name w:val="footer"/>
    <w:basedOn w:val="a"/>
    <w:link w:val="ac"/>
    <w:uiPriority w:val="99"/>
    <w:pPr>
      <w:spacing w:after="0"/>
    </w:pPr>
  </w:style>
  <w:style w:type="character" w:customStyle="1" w:styleId="ConsPlusNormalc7ede0ea">
    <w:name w:val="ConsPlusNormal Зc7нedаe0кea"/>
    <w:link w:val="ConsPlusNormal"/>
    <w:uiPriority w:val="99"/>
    <w:rPr>
      <w:rFonts w:ascii="Arial" w:hAnsi="Arial" w:cs="Arial"/>
      <w:sz w:val="20"/>
      <w:szCs w:val="20"/>
    </w:rPr>
  </w:style>
  <w:style w:type="paragraph" w:styleId="ae">
    <w:name w:val="annotation text"/>
    <w:basedOn w:val="a"/>
    <w:link w:val="af"/>
    <w:uiPriority w:val="99"/>
    <w:pPr>
      <w:spacing w:after="0"/>
    </w:pPr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rPr>
      <w:b/>
      <w:bCs/>
      <w:sz w:val="20"/>
      <w:szCs w:val="20"/>
    </w:rPr>
  </w:style>
  <w:style w:type="paragraph" w:customStyle="1" w:styleId="c1e5e7e8edf2e5f0e2e0ebe01">
    <w:name w:val="Бc1еe5зe7 иe8нedтf2еe5рf0вe2аe0лebаe01"/>
    <w:basedOn w:val="a"/>
    <w:uiPriority w:val="99"/>
    <w:qFormat/>
    <w:pPr>
      <w:spacing w:after="0"/>
    </w:pPr>
    <w:rPr>
      <w:rFonts w:ascii="Times New Roman" w:hAnsi="Times New Roman"/>
      <w:noProof/>
      <w:sz w:val="24"/>
      <w:szCs w:val="24"/>
    </w:rPr>
  </w:style>
  <w:style w:type="paragraph" w:customStyle="1" w:styleId="TableContents">
    <w:name w:val="Table Contents"/>
    <w:basedOn w:val="a"/>
    <w:uiPriority w:val="99"/>
    <w:pPr>
      <w:suppressLineNumbers/>
      <w:suppressAutoHyphens/>
      <w:spacing w:after="0"/>
    </w:pPr>
    <w:rPr>
      <w:rFonts w:ascii="Arial" w:hAnsi="Arial" w:cs="Arial"/>
      <w:sz w:val="24"/>
      <w:szCs w:val="24"/>
      <w:lang w:bidi="hi-IN"/>
    </w:rPr>
  </w:style>
  <w:style w:type="paragraph" w:styleId="af2">
    <w:name w:val="footnote text"/>
    <w:basedOn w:val="a"/>
    <w:link w:val="af3"/>
    <w:uiPriority w:val="99"/>
    <w:pPr>
      <w:suppressAutoHyphens/>
      <w:spacing w:after="0"/>
    </w:pPr>
    <w:rPr>
      <w:rFonts w:ascii="Times New Roman" w:hAnsi="Times New Roman"/>
      <w:sz w:val="20"/>
      <w:szCs w:val="20"/>
      <w:lang w:val="zh-CN" w:eastAsia="zh-CN"/>
    </w:rPr>
  </w:style>
  <w:style w:type="character" w:customStyle="1" w:styleId="cef1edeee2edeee9f8f0e8f4f2e0e1e7e0f6e01">
    <w:name w:val="Оceсf1нedоeeвe2нedоeeйe9 шf8рf0иe8фf4тf2 аe0бe1зe7аe0цf6аe01"/>
    <w:uiPriority w:val="99"/>
    <w:rPr>
      <w:sz w:val="22"/>
      <w:szCs w:val="22"/>
    </w:rPr>
  </w:style>
  <w:style w:type="paragraph" w:styleId="a6">
    <w:name w:val="Subtitle"/>
    <w:basedOn w:val="a"/>
    <w:next w:val="a"/>
    <w:link w:val="a5"/>
    <w:uiPriority w:val="99"/>
    <w:qFormat/>
    <w:pPr>
      <w:spacing w:after="160" w:line="258" w:lineRule="auto"/>
    </w:pPr>
    <w:rPr>
      <w:color w:val="5A5A5A"/>
      <w:lang w:val="en-US" w:eastAsia="en-US"/>
    </w:rPr>
  </w:style>
  <w:style w:type="table" w:styleId="1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f1">
    <w:name w:val="annotation subject"/>
    <w:basedOn w:val="ae"/>
    <w:next w:val="ae"/>
    <w:link w:val="af0"/>
    <w:uiPriority w:val="99"/>
    <w:rPr>
      <w:b/>
      <w:bCs/>
    </w:rPr>
  </w:style>
  <w:style w:type="character" w:customStyle="1" w:styleId="cardmaininfocontent">
    <w:name w:val="cardmaininfo__content"/>
    <w:basedOn w:val="a0"/>
    <w:uiPriority w:val="99"/>
    <w:rPr>
      <w:sz w:val="22"/>
      <w:szCs w:val="22"/>
    </w:rPr>
  </w:style>
  <w:style w:type="character" w:styleId="af4">
    <w:name w:val="line number"/>
    <w:basedOn w:val="a0"/>
    <w:uiPriority w:val="99"/>
    <w:rPr>
      <w:rFonts w:ascii="Times New Roman" w:hAnsi="Times New Roman"/>
      <w:color w:val="000000"/>
      <w:sz w:val="22"/>
      <w:szCs w:val="22"/>
    </w:rPr>
  </w:style>
  <w:style w:type="character" w:styleId="af5">
    <w:name w:val="Hyperlink"/>
    <w:basedOn w:val="a0"/>
    <w:uiPriority w:val="99"/>
    <w:rPr>
      <w:color w:val="000080"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bCs/>
      <w:sz w:val="48"/>
      <w:szCs w:val="48"/>
    </w:rPr>
  </w:style>
  <w:style w:type="character" w:styleId="af6">
    <w:name w:val="annotation reference"/>
    <w:basedOn w:val="a0"/>
    <w:uiPriority w:val="99"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uiPriority w:val="99"/>
    <w:rPr>
      <w:sz w:val="20"/>
      <w:szCs w:val="20"/>
    </w:rPr>
  </w:style>
  <w:style w:type="character" w:customStyle="1" w:styleId="a9">
    <w:name w:val="Абзац списка Знак"/>
    <w:link w:val="a8"/>
    <w:uiPriority w:val="99"/>
    <w:rPr>
      <w:sz w:val="22"/>
      <w:szCs w:val="22"/>
    </w:rPr>
  </w:style>
  <w:style w:type="character" w:customStyle="1" w:styleId="d2e5eaf1f2f1edeef1eae8c7ede0ea">
    <w:name w:val="Тd2еe5кeaсf1тf2 сf1нedоeeсf1кeaиe8 Зc7нedаe0кea"/>
    <w:basedOn w:val="a0"/>
    <w:uiPriority w:val="99"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rFonts w:ascii="Times New Roman" w:hAnsi="Times New Roman"/>
      <w:sz w:val="20"/>
      <w:szCs w:val="20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rPr>
      <w:i/>
      <w:iCs/>
      <w:color w:val="2E74B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2</cp:revision>
  <dcterms:created xsi:type="dcterms:W3CDTF">2020-08-14T08:11:00Z</dcterms:created>
  <dcterms:modified xsi:type="dcterms:W3CDTF">2020-08-14T08:11:00Z</dcterms:modified>
</cp:coreProperties>
</file>