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9A" w:rsidRDefault="00E0149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0149A" w:rsidRDefault="00E0149A">
      <w:pPr>
        <w:pStyle w:val="ConsPlusNormal"/>
        <w:ind w:firstLine="540"/>
        <w:jc w:val="both"/>
        <w:outlineLvl w:val="0"/>
      </w:pPr>
    </w:p>
    <w:p w:rsidR="00E0149A" w:rsidRDefault="00E0149A">
      <w:pPr>
        <w:pStyle w:val="ConsPlusTitle"/>
        <w:jc w:val="center"/>
      </w:pPr>
      <w:r>
        <w:t>ВЕРХОВНЫЙ СУД РОССИЙСКОЙ ФЕДЕРАЦИИ</w:t>
      </w:r>
    </w:p>
    <w:p w:rsidR="00E0149A" w:rsidRDefault="00E0149A">
      <w:pPr>
        <w:pStyle w:val="ConsPlusTitle"/>
        <w:jc w:val="center"/>
      </w:pPr>
    </w:p>
    <w:p w:rsidR="00E0149A" w:rsidRDefault="00E0149A">
      <w:pPr>
        <w:pStyle w:val="ConsPlusTitle"/>
        <w:jc w:val="center"/>
      </w:pPr>
      <w:r>
        <w:t>ОПРЕДЕЛЕНИЕ</w:t>
      </w:r>
    </w:p>
    <w:p w:rsidR="00E0149A" w:rsidRDefault="00E0149A">
      <w:pPr>
        <w:pStyle w:val="ConsPlusTitle"/>
        <w:jc w:val="center"/>
      </w:pPr>
      <w:bookmarkStart w:id="0" w:name="_GoBack"/>
      <w:r>
        <w:t>от 28 мая 2020 г. N 304-ЭС20-8161</w:t>
      </w:r>
    </w:p>
    <w:bookmarkEnd w:id="0"/>
    <w:p w:rsidR="00E0149A" w:rsidRDefault="00E0149A">
      <w:pPr>
        <w:pStyle w:val="ConsPlusNormal"/>
        <w:ind w:firstLine="540"/>
        <w:jc w:val="both"/>
      </w:pPr>
    </w:p>
    <w:p w:rsidR="00E0149A" w:rsidRDefault="00E0149A">
      <w:pPr>
        <w:pStyle w:val="ConsPlusNormal"/>
        <w:ind w:firstLine="540"/>
        <w:jc w:val="both"/>
      </w:pPr>
      <w:r>
        <w:t xml:space="preserve">Судья Верховного Суда Российской Федерации Антонова М.К., изучив кассационную жалобу Управления Федеральной антимонопольной службы по Омской области на решение Арбитражного суда Омской области от 02.09.2019,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Восьмого арбитражного апелляционного суда от 28.11.2019 и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Арбитражного суда Западно-Сибирского округа от 03.03.2020 по делу N А46-10914/2019</w:t>
      </w:r>
    </w:p>
    <w:p w:rsidR="00E0149A" w:rsidRDefault="00E0149A">
      <w:pPr>
        <w:pStyle w:val="ConsPlusNormal"/>
        <w:spacing w:before="240"/>
        <w:ind w:firstLine="540"/>
        <w:jc w:val="both"/>
      </w:pPr>
      <w:r>
        <w:t>по заявлению автономной некоммерческой организации дополнительного профессионального образования "Академия образования "</w:t>
      </w:r>
      <w:proofErr w:type="spellStart"/>
      <w:r>
        <w:t>Атон</w:t>
      </w:r>
      <w:proofErr w:type="spellEnd"/>
      <w:r>
        <w:t>" (далее - заявитель, организация) к Управлению Федеральной антимонопольной службы по Омской области (далее - управление, антимонопольный орган) о признании недействительными решений от 22.05.2019 N РНП-55-143/2019 и N РНП-55-144/2019,</w:t>
      </w:r>
    </w:p>
    <w:p w:rsidR="00E0149A" w:rsidRDefault="00E0149A">
      <w:pPr>
        <w:pStyle w:val="ConsPlusNormal"/>
        <w:jc w:val="center"/>
      </w:pPr>
    </w:p>
    <w:p w:rsidR="00E0149A" w:rsidRDefault="00E0149A">
      <w:pPr>
        <w:pStyle w:val="ConsPlusNormal"/>
        <w:jc w:val="center"/>
      </w:pPr>
      <w:r>
        <w:t>установил:</w:t>
      </w:r>
    </w:p>
    <w:p w:rsidR="00E0149A" w:rsidRDefault="00E0149A">
      <w:pPr>
        <w:pStyle w:val="ConsPlusNormal"/>
        <w:jc w:val="center"/>
      </w:pPr>
    </w:p>
    <w:p w:rsidR="00E0149A" w:rsidRDefault="00E0149A">
      <w:pPr>
        <w:pStyle w:val="ConsPlusNormal"/>
        <w:ind w:firstLine="540"/>
        <w:jc w:val="both"/>
      </w:pPr>
      <w:proofErr w:type="gramStart"/>
      <w:r>
        <w:t xml:space="preserve">решением Арбитражного суда Омской области от 02.09.2019, оставленным без изменения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Восьмого арбитражного апелляционного суда от 28.11.2019 и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Арбитражного суда Западно-Сибирского округа от 03.03.2020, заявленные требования удовлетворены.</w:t>
      </w:r>
      <w:proofErr w:type="gramEnd"/>
    </w:p>
    <w:p w:rsidR="00E0149A" w:rsidRDefault="00E0149A">
      <w:pPr>
        <w:pStyle w:val="ConsPlusNormal"/>
        <w:spacing w:before="240"/>
        <w:ind w:firstLine="540"/>
        <w:jc w:val="both"/>
      </w:pPr>
      <w:r>
        <w:t>В кассационной жалобе, поданной в Верховный Суд Российской Федерации, антимонопольный орган, ссылаясь на существенное нарушение норм права, просит отменить судебные акты и направить дело на новое рассмотрение в суд первой инстанции.</w:t>
      </w:r>
    </w:p>
    <w:p w:rsidR="00E0149A" w:rsidRDefault="00E0149A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10" w:history="1">
        <w:r>
          <w:rPr>
            <w:color w:val="0000FF"/>
          </w:rPr>
          <w:t>пункту 1 части 7 статьи 291.6</w:t>
        </w:r>
      </w:hyperlink>
      <w:r>
        <w:t xml:space="preserve"> Арбитражного процессуального кодекса Российской Федерации по результатам изучения кассационной жалобы судья Верховного Суда Российской Федерации выносит определение об отказе в передаче кассационной жалобы для рассмотрения в судебном заседании Судебной коллегии Верховного Суда Российской Федерации, если изложенные в кассационной жалобе доводы не подтверждают существенных нарушений норм материального права и (или) норм процессуального права, повлиявших</w:t>
      </w:r>
      <w:proofErr w:type="gramEnd"/>
      <w:r>
        <w:t xml:space="preserve"> на исход дела, и не являются достаточным основанием для пересмотра судебных актов в кассационном порядке, а также если указанные доводы не находят подтверждения в материалах дела.</w:t>
      </w:r>
    </w:p>
    <w:p w:rsidR="00E0149A" w:rsidRDefault="00E0149A">
      <w:pPr>
        <w:pStyle w:val="ConsPlusNormal"/>
        <w:spacing w:before="240"/>
        <w:ind w:firstLine="540"/>
        <w:jc w:val="both"/>
      </w:pPr>
      <w:r>
        <w:t>При изучении доводов кассационной жалобы и принятых по делу судебных актов не установлено оснований, по которым жалоба может быть передана для рассмотрения в судебном заседании Судебной коллегии по экономическим спорам Верховного Суда Российской Федерации.</w:t>
      </w:r>
    </w:p>
    <w:p w:rsidR="00E0149A" w:rsidRDefault="00E0149A">
      <w:pPr>
        <w:pStyle w:val="ConsPlusNormal"/>
        <w:spacing w:before="240"/>
        <w:ind w:firstLine="540"/>
        <w:jc w:val="both"/>
      </w:pPr>
      <w:proofErr w:type="gramStart"/>
      <w:r>
        <w:t>Как усматривается из судебных актов, организация признана победителем проведенных казенным учреждением Омской области "Центр учета и содержания собственности Омской области" (далее - заказчик, учреждение) электронных аукционов на оказание услуг по обучению специалиста заказчика на курсах повышения квалификации по программам "Охрана труда для руководителей и специалистов организации" (извещение N 0352200019919000050) и "Пожарно-технический минимум для руководителей и ответственных за пожарную безопасность в учреждениях</w:t>
      </w:r>
      <w:proofErr w:type="gramEnd"/>
      <w:r>
        <w:t xml:space="preserve">" </w:t>
      </w:r>
      <w:r>
        <w:lastRenderedPageBreak/>
        <w:t>(извещение N 0352200019919000051).</w:t>
      </w:r>
    </w:p>
    <w:p w:rsidR="00E0149A" w:rsidRDefault="00E0149A">
      <w:pPr>
        <w:pStyle w:val="ConsPlusNormal"/>
        <w:spacing w:before="240"/>
        <w:ind w:firstLine="540"/>
        <w:jc w:val="both"/>
      </w:pPr>
      <w:r>
        <w:t xml:space="preserve">В связи с </w:t>
      </w:r>
      <w:proofErr w:type="spellStart"/>
      <w:r>
        <w:t>неразмещением</w:t>
      </w:r>
      <w:proofErr w:type="spellEnd"/>
      <w:r>
        <w:t xml:space="preserve"> в установленные сроки организацией в единой информационной системе подписанных проектов контракта и документов, подтверждающих обеспечение исполнения контракта, учреждение признало организацию уклонившейся от заключения контрактов и направило сведения об организации в антимонопольный орган для включения в реестр недобросовестных поставщиков (подрядчиков, исполнителей).</w:t>
      </w:r>
    </w:p>
    <w:p w:rsidR="00E0149A" w:rsidRDefault="00E0149A">
      <w:pPr>
        <w:pStyle w:val="ConsPlusNormal"/>
        <w:spacing w:before="240"/>
        <w:ind w:firstLine="540"/>
        <w:jc w:val="both"/>
      </w:pPr>
      <w:r>
        <w:t>Решениями управления сведения об организации, ее директоре и участниках включены в реестр недобросовестных поставщиков (подрядчиков, исполнителей) сроком на два года.</w:t>
      </w:r>
    </w:p>
    <w:p w:rsidR="00E0149A" w:rsidRDefault="00E0149A">
      <w:pPr>
        <w:pStyle w:val="ConsPlusNormal"/>
        <w:spacing w:before="240"/>
        <w:ind w:firstLine="540"/>
        <w:jc w:val="both"/>
      </w:pPr>
      <w:r>
        <w:t>Считая ненормативные акты антимонопольного органа законными, организация обратилась с заявлением в арбитражный суд.</w:t>
      </w:r>
    </w:p>
    <w:p w:rsidR="00E0149A" w:rsidRDefault="00E0149A">
      <w:pPr>
        <w:pStyle w:val="ConsPlusNormal"/>
        <w:spacing w:before="240"/>
        <w:ind w:firstLine="540"/>
        <w:jc w:val="both"/>
      </w:pPr>
      <w:r>
        <w:t xml:space="preserve">Оценив представленные в материалы дела доказательства, </w:t>
      </w:r>
      <w:proofErr w:type="gramStart"/>
      <w:r>
        <w:t>суды</w:t>
      </w:r>
      <w:proofErr w:type="gramEnd"/>
      <w:r>
        <w:t xml:space="preserve"> установили, что заявитель осуществляет деятельность с 28.09.2016, является социально ориентированной некоммерческой организацией, осуществляющей образовательную деятельность, внесен в реестр аккредитованных организаций, оказывающих услуги в области охраны труда, принял участие в 31 тендере и с марта 2018 года по январь 2019 года заключил контракты на общую сумму более 450 000 рублей.</w:t>
      </w:r>
    </w:p>
    <w:p w:rsidR="00E0149A" w:rsidRDefault="00E0149A">
      <w:pPr>
        <w:pStyle w:val="ConsPlusNormal"/>
        <w:spacing w:before="240"/>
        <w:ind w:firstLine="540"/>
        <w:jc w:val="both"/>
      </w:pPr>
      <w:proofErr w:type="gramStart"/>
      <w:r>
        <w:t xml:space="preserve">Факт нарушения организацией при заключении контрактов с учреждением требований </w:t>
      </w:r>
      <w:hyperlink r:id="rId11" w:history="1">
        <w:r>
          <w:rPr>
            <w:color w:val="0000FF"/>
          </w:rPr>
          <w:t>части 6 статьи 37</w:t>
        </w:r>
      </w:hyperlink>
      <w:r>
        <w:t xml:space="preserve">, </w:t>
      </w:r>
      <w:hyperlink r:id="rId12" w:history="1">
        <w:r>
          <w:rPr>
            <w:color w:val="0000FF"/>
          </w:rPr>
          <w:t>статьи 83.2</w:t>
        </w:r>
      </w:hyperlink>
      <w:r>
        <w:t xml:space="preserve">, </w:t>
      </w:r>
      <w:hyperlink r:id="rId13" w:history="1">
        <w:r>
          <w:rPr>
            <w:color w:val="0000FF"/>
          </w:rPr>
          <w:t>частей 5</w:t>
        </w:r>
      </w:hyperlink>
      <w:r>
        <w:t xml:space="preserve"> и </w:t>
      </w:r>
      <w:hyperlink r:id="rId14" w:history="1">
        <w:r>
          <w:rPr>
            <w:color w:val="0000FF"/>
          </w:rPr>
          <w:t>6 статьи 96</w:t>
        </w:r>
      </w:hyperlink>
      <w:r>
        <w:t xml:space="preserve"> Федерального закона от 05.05.2013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подтверждается материалами дела и заявителем не оспаривается.</w:t>
      </w:r>
      <w:proofErr w:type="gramEnd"/>
    </w:p>
    <w:p w:rsidR="00E0149A" w:rsidRDefault="00E0149A">
      <w:pPr>
        <w:pStyle w:val="ConsPlusNormal"/>
        <w:spacing w:before="240"/>
        <w:ind w:firstLine="540"/>
        <w:jc w:val="both"/>
      </w:pPr>
      <w:r>
        <w:t xml:space="preserve">Вместе с тем, невыполнение соответствующих обязанностей обусловлено технической неисправностью </w:t>
      </w:r>
      <w:proofErr w:type="gramStart"/>
      <w:r>
        <w:t>интернет-шлюза</w:t>
      </w:r>
      <w:proofErr w:type="gramEnd"/>
      <w:r>
        <w:t xml:space="preserve"> в аффилированной с заявителем организации, которой было поручено подписание контрактов, что свидетельствует об отсутствии умысла на уклонение от подписания контрактов со стороны заявителя.</w:t>
      </w:r>
    </w:p>
    <w:p w:rsidR="00E0149A" w:rsidRDefault="00E0149A">
      <w:pPr>
        <w:pStyle w:val="ConsPlusNormal"/>
        <w:spacing w:before="240"/>
        <w:ind w:firstLine="540"/>
        <w:jc w:val="both"/>
      </w:pPr>
      <w:r>
        <w:t>Также об отсутствии умысла косвенно свидетельствуют суммы контрактов, по которым констатировано уклонение (4 089 рублей 99 копеек по каждому контракту с необходимостью представления заявителем обеспечения в размере 306 рублей 50 копеек и 218 рублей 75 копеек соответственно).</w:t>
      </w:r>
    </w:p>
    <w:p w:rsidR="00E0149A" w:rsidRDefault="00E0149A">
      <w:pPr>
        <w:pStyle w:val="ConsPlusNormal"/>
        <w:spacing w:before="240"/>
        <w:ind w:firstLine="540"/>
        <w:jc w:val="both"/>
      </w:pPr>
      <w:r>
        <w:t>Кроме того, судами установлены обстоятельства социально ориентированного характера деятельности заявителя, наличия большого количества наемных работников у заявителя и организаций, участники которых включены в реестр недобросовестных поставщиков, а также отсутствие ранее нарушений законодательства о контрактной системе.</w:t>
      </w:r>
    </w:p>
    <w:p w:rsidR="00E0149A" w:rsidRDefault="00E0149A">
      <w:pPr>
        <w:pStyle w:val="ConsPlusNormal"/>
        <w:spacing w:before="240"/>
        <w:ind w:firstLine="540"/>
        <w:jc w:val="both"/>
      </w:pPr>
      <w:proofErr w:type="gramStart"/>
      <w:r>
        <w:t xml:space="preserve">Учитывая установленные обстоятельства, руководствуясь положениями </w:t>
      </w:r>
      <w:hyperlink r:id="rId15" w:history="1">
        <w:r>
          <w:rPr>
            <w:color w:val="0000FF"/>
          </w:rPr>
          <w:t>статей 37</w:t>
        </w:r>
      </w:hyperlink>
      <w:r>
        <w:t xml:space="preserve">, </w:t>
      </w:r>
      <w:hyperlink r:id="rId16" w:history="1">
        <w:r>
          <w:rPr>
            <w:color w:val="0000FF"/>
          </w:rPr>
          <w:t>96</w:t>
        </w:r>
      </w:hyperlink>
      <w:r>
        <w:t xml:space="preserve">, </w:t>
      </w:r>
      <w:hyperlink r:id="rId17" w:history="1">
        <w:r>
          <w:rPr>
            <w:color w:val="0000FF"/>
          </w:rPr>
          <w:t>104</w:t>
        </w:r>
      </w:hyperlink>
      <w:r>
        <w:t xml:space="preserve"> Закона о контрактной системе, </w:t>
      </w:r>
      <w:hyperlink r:id="rId18" w:history="1">
        <w:r>
          <w:rPr>
            <w:color w:val="0000FF"/>
          </w:rPr>
          <w:t>Правилами</w:t>
        </w:r>
      </w:hyperlink>
      <w:r>
        <w:t xml:space="preserve"> ведения реестра недобросовестных поставщиков (подрядчиков, исполнителей), утвержденными постановлением Правительства Российской Федерации от 25.11.2013 N 1062, правовой позицией, изложенной в постановлениях Конституционного Суда Российской Федерации от 12.05.1998 </w:t>
      </w:r>
      <w:hyperlink r:id="rId19" w:history="1">
        <w:r>
          <w:rPr>
            <w:color w:val="0000FF"/>
          </w:rPr>
          <w:t>N 14-П</w:t>
        </w:r>
      </w:hyperlink>
      <w:r>
        <w:t xml:space="preserve">, от 15.07.1999 </w:t>
      </w:r>
      <w:hyperlink r:id="rId20" w:history="1">
        <w:r>
          <w:rPr>
            <w:color w:val="0000FF"/>
          </w:rPr>
          <w:t>N 11-П</w:t>
        </w:r>
      </w:hyperlink>
      <w:r>
        <w:t xml:space="preserve">, от 30.07.2001 </w:t>
      </w:r>
      <w:hyperlink r:id="rId21" w:history="1">
        <w:r>
          <w:rPr>
            <w:color w:val="0000FF"/>
          </w:rPr>
          <w:t>N 13-П</w:t>
        </w:r>
      </w:hyperlink>
      <w:r>
        <w:t xml:space="preserve">, от 21.11.2002 </w:t>
      </w:r>
      <w:hyperlink r:id="rId22" w:history="1">
        <w:r>
          <w:rPr>
            <w:color w:val="0000FF"/>
          </w:rPr>
          <w:t>N 15-П</w:t>
        </w:r>
      </w:hyperlink>
      <w:r>
        <w:t>, от 24.06.2009</w:t>
      </w:r>
      <w:proofErr w:type="gramEnd"/>
      <w:r>
        <w:t xml:space="preserve"> </w:t>
      </w:r>
      <w:hyperlink r:id="rId23" w:history="1">
        <w:r>
          <w:rPr>
            <w:color w:val="0000FF"/>
          </w:rPr>
          <w:t>N 11-П</w:t>
        </w:r>
      </w:hyperlink>
      <w:r>
        <w:t xml:space="preserve"> и </w:t>
      </w:r>
      <w:hyperlink r:id="rId24" w:history="1">
        <w:r>
          <w:rPr>
            <w:color w:val="0000FF"/>
          </w:rPr>
          <w:t>пункте 41</w:t>
        </w:r>
      </w:hyperlink>
      <w:r>
        <w:t xml:space="preserve"> Обзора судебной практики применения законодательства Российской Федерации о контрактной системе в сфере закупок товаров, работ, услуг для </w:t>
      </w:r>
      <w:r>
        <w:lastRenderedPageBreak/>
        <w:t>обеспечения государственных и муниципальных нужд, утвержденного Президиумом Верховного Суда Российской Федерации 28.06.2017, судебные инстанции пришли к выводу о том, что такая мера правового воздействия как включение в реестр недобросовестных поставщиков сведений об организации, ее директоре и участниках сроком на два года несоразмерна характеру совершенного заявителем противоправного деяния.</w:t>
      </w:r>
    </w:p>
    <w:p w:rsidR="00E0149A" w:rsidRDefault="00E0149A">
      <w:pPr>
        <w:pStyle w:val="ConsPlusNormal"/>
        <w:spacing w:before="240"/>
        <w:ind w:firstLine="540"/>
        <w:jc w:val="both"/>
      </w:pPr>
      <w:r>
        <w:t xml:space="preserve">Вопреки доводу управления, представление заявителем в суд документов, которые не были представлены в антимонопольный орган, обусловлено </w:t>
      </w:r>
      <w:hyperlink r:id="rId25" w:history="1">
        <w:r>
          <w:rPr>
            <w:color w:val="0000FF"/>
          </w:rPr>
          <w:t>статьей 65</w:t>
        </w:r>
      </w:hyperlink>
      <w:r>
        <w:t xml:space="preserve"> Арбитражного процессуального кодекса Российской Федерации, возлагающей на заявителя необходимость документального обоснования заявленных требований и доводов, в том числе доказывания фактов в опровержение позиции уполномоченного органа.</w:t>
      </w:r>
    </w:p>
    <w:p w:rsidR="00E0149A" w:rsidRDefault="00E0149A">
      <w:pPr>
        <w:pStyle w:val="ConsPlusNormal"/>
        <w:spacing w:before="240"/>
        <w:ind w:firstLine="540"/>
        <w:jc w:val="both"/>
      </w:pPr>
      <w:r>
        <w:t>Иные доводы, изложенные в кассационной жалобе, являлись предметом рассмотрения судов, получили надлежащую правовую оценку и с учетом установленных обстоятельств дела не подтверждают существенных нарушений норм материального и процессуального права, повлиявших на исход дела.</w:t>
      </w:r>
    </w:p>
    <w:p w:rsidR="00E0149A" w:rsidRDefault="00E0149A">
      <w:pPr>
        <w:pStyle w:val="ConsPlusNormal"/>
        <w:spacing w:before="240"/>
        <w:ind w:firstLine="540"/>
        <w:jc w:val="both"/>
      </w:pPr>
      <w:r>
        <w:t>Несогласие антимонопольного органа с выводами судов и иная оценка фактических обстоятельств дела не означают допущенной при рассмотрении дела судебной ошибки и не могут служить основанием для передачи кассационной жалобы на рассмотрение Судебной коллегии Верховного Суда Российской Федерации.</w:t>
      </w:r>
    </w:p>
    <w:p w:rsidR="00E0149A" w:rsidRDefault="00E0149A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26" w:history="1">
        <w:r>
          <w:rPr>
            <w:color w:val="0000FF"/>
          </w:rPr>
          <w:t>статьями 291.6</w:t>
        </w:r>
      </w:hyperlink>
      <w:r>
        <w:t xml:space="preserve"> и </w:t>
      </w:r>
      <w:hyperlink r:id="rId27" w:history="1">
        <w:r>
          <w:rPr>
            <w:color w:val="0000FF"/>
          </w:rPr>
          <w:t>291.8</w:t>
        </w:r>
      </w:hyperlink>
      <w:r>
        <w:t xml:space="preserve"> Арбитражного процессуального кодекса Российской Федерации,</w:t>
      </w:r>
    </w:p>
    <w:p w:rsidR="00E0149A" w:rsidRDefault="00E0149A">
      <w:pPr>
        <w:pStyle w:val="ConsPlusNormal"/>
        <w:jc w:val="center"/>
      </w:pPr>
    </w:p>
    <w:p w:rsidR="00E0149A" w:rsidRDefault="00E0149A">
      <w:pPr>
        <w:pStyle w:val="ConsPlusNormal"/>
        <w:jc w:val="center"/>
      </w:pPr>
      <w:r>
        <w:t>определил:</w:t>
      </w:r>
    </w:p>
    <w:p w:rsidR="00E0149A" w:rsidRDefault="00E0149A">
      <w:pPr>
        <w:pStyle w:val="ConsPlusNormal"/>
        <w:jc w:val="center"/>
      </w:pPr>
    </w:p>
    <w:p w:rsidR="00E0149A" w:rsidRDefault="00E0149A">
      <w:pPr>
        <w:pStyle w:val="ConsPlusNormal"/>
        <w:ind w:firstLine="540"/>
        <w:jc w:val="both"/>
      </w:pPr>
      <w:r>
        <w:t xml:space="preserve">отказать Управлению Федеральной антимонопольной службы </w:t>
      </w:r>
      <w:proofErr w:type="gramStart"/>
      <w:r>
        <w:t>по Омской области в передаче кассационной жалобы для рассмотрения в судебном заседании Судебной коллегии по экономическим спорам</w:t>
      </w:r>
      <w:proofErr w:type="gramEnd"/>
      <w:r>
        <w:t xml:space="preserve"> Верховного Суда Российской Федерации.</w:t>
      </w:r>
    </w:p>
    <w:p w:rsidR="00E0149A" w:rsidRDefault="00E0149A">
      <w:pPr>
        <w:pStyle w:val="ConsPlusNormal"/>
        <w:ind w:firstLine="540"/>
        <w:jc w:val="both"/>
      </w:pPr>
    </w:p>
    <w:p w:rsidR="00E0149A" w:rsidRDefault="00E0149A">
      <w:pPr>
        <w:pStyle w:val="ConsPlusNormal"/>
        <w:jc w:val="right"/>
      </w:pPr>
      <w:r>
        <w:t>Судья</w:t>
      </w:r>
    </w:p>
    <w:p w:rsidR="00E0149A" w:rsidRDefault="00E0149A">
      <w:pPr>
        <w:pStyle w:val="ConsPlusNormal"/>
        <w:jc w:val="right"/>
      </w:pPr>
      <w:r>
        <w:t>Верховного Суда Российской Федерации</w:t>
      </w:r>
    </w:p>
    <w:p w:rsidR="00E0149A" w:rsidRDefault="00E0149A">
      <w:pPr>
        <w:pStyle w:val="ConsPlusNormal"/>
        <w:jc w:val="right"/>
      </w:pPr>
      <w:r>
        <w:t>М.К.АНТОНОВА</w:t>
      </w:r>
    </w:p>
    <w:p w:rsidR="00E0149A" w:rsidRDefault="00E0149A">
      <w:pPr>
        <w:pStyle w:val="ConsPlusNormal"/>
        <w:ind w:firstLine="540"/>
        <w:jc w:val="both"/>
      </w:pPr>
    </w:p>
    <w:p w:rsidR="00E0149A" w:rsidRDefault="00E0149A">
      <w:pPr>
        <w:pStyle w:val="ConsPlusNormal"/>
        <w:ind w:firstLine="540"/>
        <w:jc w:val="both"/>
      </w:pPr>
    </w:p>
    <w:p w:rsidR="00E0149A" w:rsidRDefault="00E014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6E38A0"/>
    <w:sectPr w:rsidR="001552FE" w:rsidSect="008B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9A"/>
    <w:rsid w:val="00536E16"/>
    <w:rsid w:val="005C5D8E"/>
    <w:rsid w:val="006E38A0"/>
    <w:rsid w:val="00957F33"/>
    <w:rsid w:val="00963F56"/>
    <w:rsid w:val="009B3926"/>
    <w:rsid w:val="00CA5555"/>
    <w:rsid w:val="00CF6166"/>
    <w:rsid w:val="00D255F1"/>
    <w:rsid w:val="00E0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4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E014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E014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4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E014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E014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47E39319B04FB6DD97F9E0A505FFE45850784EE14AAACD7A0CBCC343C93E25B3AD4D7F76EB17D78E2A775E2C46D81FDbBv5F" TargetMode="External"/><Relationship Id="rId13" Type="http://schemas.openxmlformats.org/officeDocument/2006/relationships/hyperlink" Target="consultantplus://offline/ref=6BF47E39319B04FB6DD9619E0D3801F34E8C5D8BE91DA6FF8BF2CD9B6B6C95B71B7AD282A62BE77471EEED24AE8F6281F8ABC8D2A6C96DA5bFvEF" TargetMode="External"/><Relationship Id="rId18" Type="http://schemas.openxmlformats.org/officeDocument/2006/relationships/hyperlink" Target="consultantplus://offline/ref=6BF47E39319B04FB6DD9619E0D3801F34E8C5080ED16A6FF8BF2CD9B6B6C95B71B7AD282A62AE4717CEEED24AE8F6281F8ABC8D2A6C96DA5bFvEF" TargetMode="External"/><Relationship Id="rId26" Type="http://schemas.openxmlformats.org/officeDocument/2006/relationships/hyperlink" Target="consultantplus://offline/ref=6BF47E39319B04FB6DD9619E0D3801F34E8D508BEF10A6FF8BF2CD9B6B6C95B71B7AD284A22EEF2429A1EC78EADD7181F7ABCADABAbCvB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BF47E39319B04FB6DD96C8D183801F34C8C508EE71EFBF583ABC1996C63CAB21C6BD283A134E47866E7B977bEvAF" TargetMode="External"/><Relationship Id="rId7" Type="http://schemas.openxmlformats.org/officeDocument/2006/relationships/hyperlink" Target="consultantplus://offline/ref=6BF47E39319B04FB6DD96C85093801F34C885A81E81CA6FF8BF2CD9B6B6C95B7097A8A8EA62DFA7070FBBB75E8bDvAF" TargetMode="External"/><Relationship Id="rId12" Type="http://schemas.openxmlformats.org/officeDocument/2006/relationships/hyperlink" Target="consultantplus://offline/ref=6BF47E39319B04FB6DD9619E0D3801F34E8C5D8BE91DA6FF8BF2CD9B6B6C95B71B7AD28AA32DEF2429A1EC78EADD7181F7ABCADABAbCvBF" TargetMode="External"/><Relationship Id="rId17" Type="http://schemas.openxmlformats.org/officeDocument/2006/relationships/hyperlink" Target="consultantplus://offline/ref=6BF47E39319B04FB6DD9619E0D3801F34E8C5D8BE91DA6FF8BF2CD9B6B6C95B71B7AD282A62BE0797FEEED24AE8F6281F8ABC8D2A6C96DA5bFvEF" TargetMode="External"/><Relationship Id="rId25" Type="http://schemas.openxmlformats.org/officeDocument/2006/relationships/hyperlink" Target="consultantplus://offline/ref=6BF47E39319B04FB6DD9619E0D3801F34E8D508BEF10A6FF8BF2CD9B6B6C95B71B7AD282A62AE7777CEEED24AE8F6281F8ABC8D2A6C96DA5bFvE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F47E39319B04FB6DD9619E0D3801F34E8C5D8BE91DA6FF8BF2CD9B6B6C95B71B7AD282A62BE7747CEEED24AE8F6281F8ABC8D2A6C96DA5bFvEF" TargetMode="External"/><Relationship Id="rId20" Type="http://schemas.openxmlformats.org/officeDocument/2006/relationships/hyperlink" Target="consultantplus://offline/ref=6BF47E39319B04FB6DD96C8D183801F34A865A89E443F1FDDAA7C39E633CCFA70D33DF84B82AEC6E7AE5BBb7v5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F47E39319B04FB6DD97F9E0A505FFE45850784EE14AAACD7A0CBCC343C93E25B3AD4D7F76EB17D78E2A775E2C46D81FDbBv5F" TargetMode="External"/><Relationship Id="rId11" Type="http://schemas.openxmlformats.org/officeDocument/2006/relationships/hyperlink" Target="consultantplus://offline/ref=6BF47E39319B04FB6DD9619E0D3801F34E8C5D8BE91DA6FF8BF2CD9B6B6C95B71B7AD282A62AE0747BEEED24AE8F6281F8ABC8D2A6C96DA5bFvEF" TargetMode="External"/><Relationship Id="rId24" Type="http://schemas.openxmlformats.org/officeDocument/2006/relationships/hyperlink" Target="consultantplus://offline/ref=6BF47E39319B04FB6DD96C8D183801F3488E5D8AEF10A6FF8BF2CD9B6B6C95B71B7AD282A62AE07271EEED24AE8F6281F8ABC8D2A6C96DA5bFvE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BF47E39319B04FB6DD9619E0D3801F34E8C5D8BE91DA6FF8BF2CD9B6B6C95B71B7AD282A62AE0737FEEED24AE8F6281F8ABC8D2A6C96DA5bFvEF" TargetMode="External"/><Relationship Id="rId23" Type="http://schemas.openxmlformats.org/officeDocument/2006/relationships/hyperlink" Target="consultantplus://offline/ref=6BF47E39319B04FB6DD96C8D183801F344875D80E71EFBF583ABC1996C63CAB21C6BD283A134E47866E7B977bEvA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BF47E39319B04FB6DD9619E0D3801F34E8D508BEF10A6FF8BF2CD9B6B6C95B71B7AD284A328EF2429A1EC78EADD7181F7ABCADABAbCvBF" TargetMode="External"/><Relationship Id="rId19" Type="http://schemas.openxmlformats.org/officeDocument/2006/relationships/hyperlink" Target="consultantplus://offline/ref=6BF47E39319B04FB6DD96C8D183801F34A885C80E443F1FDDAA7C39E633CCFA70D33DF84B82AEC6E7AE5BBb7v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F47E39319B04FB6DD96C85093801F34C885A81E81CA6FF8BF2CD9B6B6C95B7097A8A8EA62DFA7070FBBB75E8bDvAF" TargetMode="External"/><Relationship Id="rId14" Type="http://schemas.openxmlformats.org/officeDocument/2006/relationships/hyperlink" Target="consultantplus://offline/ref=6BF47E39319B04FB6DD9619E0D3801F34E8C5D8BE91DA6FF8BF2CD9B6B6C95B71B7AD282A528E37B2CB4FD20E7DA689FFFBDD6D8B8C9b6vDF" TargetMode="External"/><Relationship Id="rId22" Type="http://schemas.openxmlformats.org/officeDocument/2006/relationships/hyperlink" Target="consultantplus://offline/ref=6BF47E39319B04FB6DD96C8D183801F34C885C8AEA1EFBF583ABC1996C63CAB21C6BD283A134E47866E7B977bEvAF" TargetMode="External"/><Relationship Id="rId27" Type="http://schemas.openxmlformats.org/officeDocument/2006/relationships/hyperlink" Target="consultantplus://offline/ref=6BF47E39319B04FB6DD9619E0D3801F34E8D508BEF10A6FF8BF2CD9B6B6C95B71B7AD284A322EF2429A1EC78EADD7181F7ABCADABAbCv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2020-08-07T05:47:00Z</dcterms:created>
  <dcterms:modified xsi:type="dcterms:W3CDTF">2020-08-07T05:54:00Z</dcterms:modified>
</cp:coreProperties>
</file>